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3C547" w14:textId="5AC4B366" w:rsidR="001F5CEE" w:rsidRPr="00990FB6" w:rsidRDefault="00657020" w:rsidP="007E54EE">
      <w:pPr>
        <w:pStyle w:val="HeadingSection"/>
        <w:spacing w:after="360"/>
        <w:rPr>
          <w:rFonts w:eastAsiaTheme="minorEastAsia"/>
          <w:lang w:val="fr-FR"/>
        </w:rPr>
      </w:pPr>
      <w:bookmarkStart w:id="0" w:name="_Toc145935254"/>
      <w:bookmarkStart w:id="1" w:name="_Hlk144469157"/>
      <w:r>
        <w:rPr>
          <w:rFonts w:eastAsiaTheme="minorEastAsia"/>
          <w:lang w:val="fr-FR"/>
        </w:rPr>
        <w:t xml:space="preserve">Conditions Générales d'Utilisation </w:t>
      </w:r>
      <w:bookmarkEnd w:id="0"/>
    </w:p>
    <w:bookmarkEnd w:id="1"/>
    <w:p w14:paraId="404E39B2" w14:textId="3612FA9D" w:rsidR="002E48B0" w:rsidRPr="00990FB6" w:rsidRDefault="00D60AE4" w:rsidP="002B429B">
      <w:pPr>
        <w:jc w:val="both"/>
        <w:rPr>
          <w:b/>
          <w:bCs/>
          <w:color w:val="00A79D"/>
          <w:sz w:val="20"/>
          <w:szCs w:val="20"/>
          <w:lang w:val="fr-FR"/>
        </w:rPr>
      </w:pPr>
      <w:r>
        <w:rPr>
          <w:b/>
          <w:bCs/>
          <w:color w:val="00A79D"/>
          <w:sz w:val="20"/>
          <w:szCs w:val="20"/>
          <w:lang w:val="fr-FR"/>
        </w:rPr>
        <w:t>Le Client s’engage et veille à ce que toutes les Entités du Client se conforment aux présentes Conditions Générales d'Utilisation dans le cadre de l'utilisation des Produits. Sauf dispositions contraires, les termes avec une majuscule ont la signification qui leur est donnée dans les Conditions Générales.</w:t>
      </w:r>
    </w:p>
    <w:p w14:paraId="1AF3B4A2" w14:textId="77777777" w:rsidR="002E48B0" w:rsidRDefault="002E48B0" w:rsidP="002B429B">
      <w:pPr>
        <w:jc w:val="both"/>
        <w:rPr>
          <w:b/>
          <w:bCs/>
          <w:sz w:val="20"/>
          <w:szCs w:val="20"/>
          <w:lang w:val="fr-FR"/>
        </w:rPr>
      </w:pPr>
    </w:p>
    <w:p w14:paraId="62891479" w14:textId="77777777" w:rsidR="00267266" w:rsidRPr="00267266" w:rsidRDefault="00267266" w:rsidP="00267266">
      <w:pPr>
        <w:jc w:val="both"/>
        <w:rPr>
          <w:sz w:val="20"/>
          <w:szCs w:val="20"/>
          <w:lang w:val="fr-FR"/>
        </w:rPr>
      </w:pPr>
      <w:r w:rsidRPr="00267266">
        <w:rPr>
          <w:sz w:val="20"/>
          <w:szCs w:val="20"/>
          <w:lang w:val="fr-FR"/>
        </w:rPr>
        <w:t>Les termes et définitions suivants s'appliquent aux présentes Conditions Générales d'Utilisation :</w:t>
      </w:r>
    </w:p>
    <w:p w14:paraId="3FE35081" w14:textId="77777777" w:rsidR="00267266" w:rsidRPr="00267266" w:rsidRDefault="00267266" w:rsidP="00267266">
      <w:pPr>
        <w:jc w:val="both"/>
        <w:rPr>
          <w:sz w:val="20"/>
          <w:szCs w:val="20"/>
          <w:lang w:val="fr-FR"/>
        </w:rPr>
      </w:pPr>
    </w:p>
    <w:p w14:paraId="0E9449F2" w14:textId="2F762041" w:rsidR="00267266" w:rsidRPr="00267266" w:rsidRDefault="00267266" w:rsidP="00267266">
      <w:pPr>
        <w:pStyle w:val="ListParagraph"/>
        <w:numPr>
          <w:ilvl w:val="0"/>
          <w:numId w:val="50"/>
        </w:numPr>
        <w:jc w:val="both"/>
        <w:rPr>
          <w:sz w:val="20"/>
          <w:szCs w:val="20"/>
          <w:lang w:val="fr-FR"/>
        </w:rPr>
      </w:pPr>
      <w:r w:rsidRPr="00267266">
        <w:rPr>
          <w:sz w:val="20"/>
          <w:szCs w:val="20"/>
          <w:lang w:val="fr-FR"/>
        </w:rPr>
        <w:t>« Personne Sanctionnée » désigne toute personne qui : (a) figure sur une liste de personnes visées par des Sanctions tenue par une autorité compétente concernée ; (b) est détenue ou contrôlée, directement ou indirectement, par une telle personne ; ou (c) est constituée selon les lois d'un Territoire Sanctionné, ou y réside, y est établie ou y est domiciliée à titre habituel.</w:t>
      </w:r>
    </w:p>
    <w:p w14:paraId="69E57DA9" w14:textId="77777777" w:rsidR="00267266" w:rsidRPr="00267266" w:rsidRDefault="00267266" w:rsidP="00267266">
      <w:pPr>
        <w:jc w:val="both"/>
        <w:rPr>
          <w:sz w:val="20"/>
          <w:szCs w:val="20"/>
          <w:lang w:val="fr-FR"/>
        </w:rPr>
      </w:pPr>
    </w:p>
    <w:p w14:paraId="044E6C91" w14:textId="2583D5AB" w:rsidR="00267266" w:rsidRPr="00267266" w:rsidRDefault="00267266" w:rsidP="00267266">
      <w:pPr>
        <w:pStyle w:val="ListParagraph"/>
        <w:numPr>
          <w:ilvl w:val="0"/>
          <w:numId w:val="50"/>
        </w:numPr>
        <w:jc w:val="both"/>
        <w:rPr>
          <w:sz w:val="20"/>
          <w:szCs w:val="20"/>
          <w:lang w:val="fr-FR"/>
        </w:rPr>
      </w:pPr>
      <w:r w:rsidRPr="00267266">
        <w:rPr>
          <w:sz w:val="20"/>
          <w:szCs w:val="20"/>
          <w:lang w:val="fr-FR"/>
        </w:rPr>
        <w:t>« Territoire Sanctionné » désigne tout pays ou territoire qui fait lui-même l'objet, à un moment donné, de Sanctions générales, s'appliquant à l'ensemble du pays ou du territoire.</w:t>
      </w:r>
    </w:p>
    <w:p w14:paraId="6010561E" w14:textId="77777777" w:rsidR="00267266" w:rsidRPr="00267266" w:rsidRDefault="00267266" w:rsidP="00267266">
      <w:pPr>
        <w:jc w:val="both"/>
        <w:rPr>
          <w:sz w:val="20"/>
          <w:szCs w:val="20"/>
          <w:lang w:val="fr-FR"/>
        </w:rPr>
      </w:pPr>
    </w:p>
    <w:p w14:paraId="4B0D8F35" w14:textId="37E0368F" w:rsidR="00482B6E" w:rsidRPr="00990FB6" w:rsidRDefault="002E48B0" w:rsidP="002B429B">
      <w:pPr>
        <w:jc w:val="both"/>
        <w:rPr>
          <w:sz w:val="20"/>
          <w:szCs w:val="20"/>
          <w:lang w:val="fr-FR"/>
        </w:rPr>
      </w:pPr>
      <w:r>
        <w:rPr>
          <w:sz w:val="20"/>
          <w:szCs w:val="20"/>
          <w:lang w:val="fr-FR"/>
        </w:rPr>
        <w:t>Le Client doit aviser Wireless Logic sans délai de toute violation des présentes Conditions Générales d'Utilisation et fournir ses meilleurs efforts pour mettre fin à la violation ou y remédier. Le non-respect des Conditions Générales d'Utilisation peut entraîner la suspension temporaire ou définitive de la fourniture des Produits.</w:t>
      </w:r>
    </w:p>
    <w:p w14:paraId="60F39C4C" w14:textId="77777777" w:rsidR="006024E1" w:rsidRPr="00990FB6" w:rsidRDefault="006024E1" w:rsidP="00D60AE4">
      <w:pPr>
        <w:rPr>
          <w:sz w:val="20"/>
          <w:szCs w:val="20"/>
          <w:lang w:val="fr-FR"/>
        </w:rPr>
      </w:pPr>
    </w:p>
    <w:p w14:paraId="46020790" w14:textId="6B1E547C" w:rsidR="001F5CEE" w:rsidRPr="00990FB6" w:rsidRDefault="006024E1" w:rsidP="002B429B">
      <w:pPr>
        <w:jc w:val="both"/>
        <w:rPr>
          <w:sz w:val="20"/>
          <w:szCs w:val="20"/>
          <w:lang w:val="fr-FR"/>
        </w:rPr>
      </w:pPr>
      <w:r>
        <w:rPr>
          <w:sz w:val="20"/>
          <w:szCs w:val="20"/>
          <w:lang w:val="fr-FR"/>
        </w:rPr>
        <w:t xml:space="preserve">Ces Conditions Générales d'Utilisation sont susceptibles d'être modifiées par Wireless Logic, conformément aux dispositions de l’article 13.4 (« Modification des Conditions Générales, des Conditions Générales d'Utilisation et des Conditions Particulières ») des Conditions Générales. </w:t>
      </w:r>
    </w:p>
    <w:p w14:paraId="1E74ED37" w14:textId="77777777" w:rsidR="00F909D4" w:rsidRPr="00990FB6" w:rsidRDefault="00F909D4" w:rsidP="002B429B">
      <w:pPr>
        <w:jc w:val="both"/>
        <w:rPr>
          <w:sz w:val="20"/>
          <w:szCs w:val="20"/>
          <w:lang w:val="fr-FR"/>
        </w:rPr>
      </w:pPr>
    </w:p>
    <w:p w14:paraId="0DA1F9D7" w14:textId="19719C27" w:rsidR="00F909D4" w:rsidRPr="00990FB6" w:rsidRDefault="00F909D4" w:rsidP="002B429B">
      <w:pPr>
        <w:jc w:val="both"/>
        <w:rPr>
          <w:sz w:val="20"/>
          <w:szCs w:val="20"/>
          <w:lang w:val="fr-FR"/>
        </w:rPr>
      </w:pPr>
      <w:r>
        <w:rPr>
          <w:sz w:val="20"/>
          <w:szCs w:val="20"/>
          <w:lang w:val="fr-FR"/>
        </w:rPr>
        <w:t>Les mots et expressions employés avec une majuscule, indifféremment au singulier ou au pluriel, ont le sens indiqué au sein des Conditions Générales.</w:t>
      </w:r>
    </w:p>
    <w:p w14:paraId="1B631C95" w14:textId="059C0CAA" w:rsidR="00D2183E" w:rsidRPr="00990FB6" w:rsidRDefault="00D2183E" w:rsidP="00B9793A">
      <w:pPr>
        <w:pStyle w:val="HeadingnotinTOC"/>
        <w:numPr>
          <w:ilvl w:val="0"/>
          <w:numId w:val="32"/>
        </w:numPr>
        <w:rPr>
          <w:rFonts w:eastAsiaTheme="minorEastAsia"/>
          <w:b/>
          <w:bCs w:val="0"/>
          <w:sz w:val="28"/>
          <w:szCs w:val="28"/>
        </w:rPr>
      </w:pPr>
      <w:r>
        <w:rPr>
          <w:rFonts w:eastAsiaTheme="minorEastAsia"/>
          <w:b/>
          <w:bCs w:val="0"/>
          <w:sz w:val="28"/>
          <w:szCs w:val="28"/>
        </w:rPr>
        <w:t>Utilisation des Services</w:t>
      </w:r>
    </w:p>
    <w:p w14:paraId="3A6A545A" w14:textId="737FAF0E" w:rsidR="002D4821" w:rsidRPr="00990FB6" w:rsidRDefault="002D4821" w:rsidP="00B9793A">
      <w:pPr>
        <w:pStyle w:val="ListParagraph"/>
        <w:numPr>
          <w:ilvl w:val="1"/>
          <w:numId w:val="33"/>
        </w:numPr>
        <w:spacing w:beforeLines="40" w:before="96" w:afterLines="40" w:after="96"/>
        <w:contextualSpacing w:val="0"/>
        <w:jc w:val="both"/>
        <w:rPr>
          <w:rFonts w:cs="Arial"/>
          <w:sz w:val="20"/>
          <w:szCs w:val="20"/>
          <w:lang w:val="fr-FR"/>
        </w:rPr>
      </w:pPr>
      <w:r>
        <w:rPr>
          <w:rFonts w:cs="Arial"/>
          <w:sz w:val="20"/>
          <w:szCs w:val="20"/>
          <w:lang w:val="fr-FR"/>
        </w:rPr>
        <w:t>Le Client est responsable de toute utilisation des Produits par les Entités du Client ainsi que ses salariés, consultants, prestataires de services et toute personne autorisée par le Client à accéder aux Produits ou à les utiliser.</w:t>
      </w:r>
    </w:p>
    <w:p w14:paraId="0D5C1359" w14:textId="60D5EBA0" w:rsidR="00A9526C" w:rsidRPr="00990FB6" w:rsidRDefault="005F6259" w:rsidP="0EF9EAF9">
      <w:pPr>
        <w:pStyle w:val="ListParagraph"/>
        <w:numPr>
          <w:ilvl w:val="1"/>
          <w:numId w:val="33"/>
        </w:numPr>
        <w:spacing w:beforeLines="40" w:before="96" w:afterLines="40" w:after="96"/>
        <w:jc w:val="both"/>
        <w:rPr>
          <w:rFonts w:cs="Arial"/>
          <w:sz w:val="20"/>
          <w:szCs w:val="20"/>
          <w:lang w:val="fr-FR"/>
        </w:rPr>
      </w:pPr>
      <w:r>
        <w:rPr>
          <w:rFonts w:cs="Arial"/>
          <w:sz w:val="20"/>
          <w:szCs w:val="20"/>
          <w:lang w:val="fr-FR"/>
        </w:rPr>
        <w:t>Le Client doit respecter et se conformer (et doit veiller à ce que toutes les Entités du Client respectent et se conforment) :</w:t>
      </w:r>
    </w:p>
    <w:p w14:paraId="3484C821" w14:textId="714E4B4E" w:rsidR="00A9526C" w:rsidRPr="00990FB6" w:rsidRDefault="00827A8B" w:rsidP="00B9793A">
      <w:pPr>
        <w:pStyle w:val="ListParagraph"/>
        <w:numPr>
          <w:ilvl w:val="0"/>
          <w:numId w:val="34"/>
        </w:numPr>
        <w:spacing w:before="40" w:after="40"/>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aux</w:t>
      </w:r>
      <w:proofErr w:type="gramEnd"/>
      <w:r>
        <w:rPr>
          <w:rFonts w:eastAsiaTheme="minorEastAsia"/>
          <w:sz w:val="20"/>
          <w:szCs w:val="20"/>
          <w:lang w:val="fr-FR" w:eastAsia="en-US"/>
        </w:rPr>
        <w:t xml:space="preserve"> dispositions légales applicables, aux directives des autorités administratives ou des forces de l’ordre (y compris à des fins d'interception légale et de cybersécurité), les règlements (y compris les obligations applicables si un service connexe offert par le Client signifie que Wireless Logic et/ou un Client est un fournisseur de communications électroniques, de télécommunications, de services à valeur ajoutée ou de services connexes) ;</w:t>
      </w:r>
    </w:p>
    <w:p w14:paraId="152EA852" w14:textId="65641D4A" w:rsidR="00DF5B9E" w:rsidRPr="00990FB6" w:rsidRDefault="00827A8B" w:rsidP="00B9793A">
      <w:pPr>
        <w:pStyle w:val="ListParagraph"/>
        <w:numPr>
          <w:ilvl w:val="0"/>
          <w:numId w:val="34"/>
        </w:numPr>
        <w:spacing w:before="40" w:after="40"/>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aux</w:t>
      </w:r>
      <w:proofErr w:type="gramEnd"/>
      <w:r>
        <w:rPr>
          <w:rFonts w:eastAsiaTheme="minorEastAsia"/>
          <w:sz w:val="20"/>
          <w:szCs w:val="20"/>
          <w:lang w:val="fr-FR" w:eastAsia="en-US"/>
        </w:rPr>
        <w:t xml:space="preserve"> procédures et politiques applicables des Fournisseurs de Réseau qui fournissent des réseaux sous-jacents utilisés par les Entités du Client, ces procédures et politiques étant disponibles sur demande du Client à Wireless Logic ; </w:t>
      </w:r>
    </w:p>
    <w:p w14:paraId="3B949307" w14:textId="22F814C6" w:rsidR="00737A44" w:rsidRPr="00990FB6" w:rsidRDefault="00827A8B" w:rsidP="00B9793A">
      <w:pPr>
        <w:pStyle w:val="ListParagraph"/>
        <w:numPr>
          <w:ilvl w:val="0"/>
          <w:numId w:val="34"/>
        </w:numPr>
        <w:spacing w:before="40" w:after="40"/>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à</w:t>
      </w:r>
      <w:proofErr w:type="gramEnd"/>
      <w:r>
        <w:rPr>
          <w:rFonts w:eastAsiaTheme="minorEastAsia"/>
          <w:sz w:val="20"/>
          <w:szCs w:val="20"/>
          <w:lang w:val="fr-FR" w:eastAsia="en-US"/>
        </w:rPr>
        <w:t xml:space="preserve"> toute instruction utile (y compris les spécifications et la formation) notifiée au Client par Wireless Logic et/ou le(s) Fournisseur(s) de Réseau concerné(s) pour l'utilisation et/ou la commercialisation des Produits ou qui, de l'avis raisonnable de Wireless Logic ou de tout Fournisseur de Réseau, empêche : (i) la transmission de matériel illégal ; ou (ii) les systèmes d'être endommagés ou détériorés.</w:t>
      </w:r>
    </w:p>
    <w:p w14:paraId="63970389" w14:textId="4B93D98A" w:rsidR="003358B9" w:rsidRPr="00990FB6" w:rsidRDefault="00737A44" w:rsidP="00B9793A">
      <w:pPr>
        <w:pStyle w:val="ListParagraph"/>
        <w:numPr>
          <w:ilvl w:val="1"/>
          <w:numId w:val="33"/>
        </w:numPr>
        <w:spacing w:beforeLines="40" w:before="96" w:afterLines="40" w:after="96"/>
        <w:contextualSpacing w:val="0"/>
        <w:jc w:val="both"/>
        <w:rPr>
          <w:rFonts w:eastAsiaTheme="minorEastAsia"/>
          <w:sz w:val="20"/>
          <w:szCs w:val="20"/>
          <w:lang w:eastAsia="en-US"/>
        </w:rPr>
      </w:pPr>
      <w:r>
        <w:rPr>
          <w:rFonts w:cs="Arial"/>
          <w:sz w:val="20"/>
          <w:szCs w:val="20"/>
        </w:rPr>
        <w:t xml:space="preserve">Le </w:t>
      </w:r>
      <w:r>
        <w:rPr>
          <w:rFonts w:eastAsiaTheme="minorEastAsia"/>
          <w:sz w:val="20"/>
          <w:szCs w:val="20"/>
          <w:lang w:eastAsia="en-US"/>
        </w:rPr>
        <w:t>Client doit:</w:t>
      </w:r>
    </w:p>
    <w:p w14:paraId="1E48F1EB" w14:textId="020D5961" w:rsidR="00737A44" w:rsidRPr="00990FB6" w:rsidRDefault="00737A44" w:rsidP="00B9793A">
      <w:pPr>
        <w:pStyle w:val="ListParagraph"/>
        <w:numPr>
          <w:ilvl w:val="0"/>
          <w:numId w:val="36"/>
        </w:numPr>
        <w:spacing w:before="40" w:after="40"/>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lastRenderedPageBreak/>
        <w:t>répondre</w:t>
      </w:r>
      <w:proofErr w:type="gramEnd"/>
      <w:r>
        <w:rPr>
          <w:rFonts w:eastAsiaTheme="minorEastAsia"/>
          <w:sz w:val="20"/>
          <w:szCs w:val="20"/>
          <w:lang w:val="fr-FR" w:eastAsia="en-US"/>
        </w:rPr>
        <w:t xml:space="preserve"> aux normes techniques et de </w:t>
      </w:r>
      <w:proofErr w:type="gramStart"/>
      <w:r>
        <w:rPr>
          <w:rFonts w:eastAsiaTheme="minorEastAsia"/>
          <w:sz w:val="20"/>
          <w:szCs w:val="20"/>
          <w:lang w:val="fr-FR" w:eastAsia="en-US"/>
        </w:rPr>
        <w:t>sécurité requises</w:t>
      </w:r>
      <w:proofErr w:type="gramEnd"/>
      <w:r>
        <w:rPr>
          <w:rFonts w:eastAsiaTheme="minorEastAsia"/>
          <w:sz w:val="20"/>
          <w:szCs w:val="20"/>
          <w:lang w:val="fr-FR" w:eastAsia="en-US"/>
        </w:rPr>
        <w:t xml:space="preserve"> pour la réception et la fourniture ultérieure des Produits, le cas échéant ; </w:t>
      </w:r>
    </w:p>
    <w:p w14:paraId="7392F220" w14:textId="668F7B91" w:rsidR="001A0353" w:rsidRPr="00990FB6" w:rsidRDefault="001A0353" w:rsidP="00B9793A">
      <w:pPr>
        <w:pStyle w:val="ListParagraph"/>
        <w:numPr>
          <w:ilvl w:val="0"/>
          <w:numId w:val="36"/>
        </w:numPr>
        <w:spacing w:before="40" w:after="40"/>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ne</w:t>
      </w:r>
      <w:proofErr w:type="gramEnd"/>
      <w:r>
        <w:rPr>
          <w:rFonts w:eastAsiaTheme="minorEastAsia"/>
          <w:sz w:val="20"/>
          <w:szCs w:val="20"/>
          <w:lang w:val="fr-FR" w:eastAsia="en-US"/>
        </w:rPr>
        <w:t xml:space="preserve"> commercialiser et ne solliciter les Entités du Client dans le cadre de la fourniture de Produits qu'en recourant à du personnel sous contrat ou employé directement par ses soins ;</w:t>
      </w:r>
    </w:p>
    <w:p w14:paraId="6A75CC4C" w14:textId="682C1143" w:rsidR="001A0353" w:rsidRPr="00990FB6" w:rsidRDefault="00EA269A" w:rsidP="00B9793A">
      <w:pPr>
        <w:pStyle w:val="ListParagraph"/>
        <w:numPr>
          <w:ilvl w:val="0"/>
          <w:numId w:val="36"/>
        </w:numPr>
        <w:spacing w:before="40" w:after="40"/>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aviser</w:t>
      </w:r>
      <w:proofErr w:type="gramEnd"/>
      <w:r>
        <w:rPr>
          <w:rFonts w:eastAsiaTheme="minorEastAsia"/>
          <w:sz w:val="20"/>
          <w:szCs w:val="20"/>
          <w:lang w:val="fr-FR" w:eastAsia="en-US"/>
        </w:rPr>
        <w:t xml:space="preserve"> Wireless Logic raisonnablement à l'avance de toute proposition de fourniture de biens, de services et/ou de logiciels aux Entités du Client qui incluraient des Produits et, à la demande de Wireless Logic, identifier Wireless Logic (ainsi que le(s) Fournisseur(s) de Réseau concerné(s)) dans les propositions faites aux Entités du Client qui portent sur des Produits ; et</w:t>
      </w:r>
    </w:p>
    <w:p w14:paraId="285B255A" w14:textId="3BC2AFF4" w:rsidR="0045485B" w:rsidRPr="00990FB6" w:rsidRDefault="0045485B" w:rsidP="00B9793A">
      <w:pPr>
        <w:pStyle w:val="ListParagraph"/>
        <w:numPr>
          <w:ilvl w:val="0"/>
          <w:numId w:val="36"/>
        </w:numPr>
        <w:spacing w:before="40" w:after="40"/>
        <w:ind w:left="1134" w:hanging="425"/>
        <w:contextualSpacing w:val="0"/>
        <w:jc w:val="both"/>
        <w:rPr>
          <w:rFonts w:eastAsiaTheme="minorEastAsia"/>
          <w:sz w:val="20"/>
          <w:szCs w:val="20"/>
          <w:lang w:val="fr-FR" w:eastAsia="en-US"/>
        </w:rPr>
      </w:pPr>
      <w:r>
        <w:rPr>
          <w:rFonts w:eastAsiaTheme="minorEastAsia"/>
          <w:sz w:val="20"/>
          <w:szCs w:val="20"/>
          <w:lang w:val="fr-FR" w:eastAsia="en-US"/>
        </w:rPr>
        <w:t>ne pas agir ou omettre d'agir de manière à placer Wireless Logic et/ou le(s) Fournisseur(s) de Réseau concerné(s) en violation de toute disposition légale applicable, d'un règlement et/ou de toute autre disposition contractuelle applicable à Wireless Logic et/ou au(x) Fournisseur(s) de Réseau concerné(s), et collaborer pleinement avec Wireless Logic pour permettre à Wireless Logic et/ou au(x) Fournisseur(s) de Réseau concerné(s) (selon le cas) de se conformer à toutes les dispositions susmentionnées.</w:t>
      </w:r>
    </w:p>
    <w:p w14:paraId="689EAC24" w14:textId="77777777" w:rsidR="00894F7B" w:rsidRDefault="003F3832">
      <w:pPr>
        <w:pStyle w:val="HeadingnotinTOC"/>
        <w:numPr>
          <w:ilvl w:val="0"/>
          <w:numId w:val="32"/>
        </w:numPr>
        <w:rPr>
          <w:rFonts w:eastAsiaTheme="minorEastAsia"/>
          <w:b/>
          <w:bCs w:val="0"/>
          <w:sz w:val="28"/>
          <w:szCs w:val="28"/>
        </w:rPr>
      </w:pPr>
      <w:r>
        <w:rPr>
          <w:rFonts w:eastAsiaTheme="minorEastAsia"/>
          <w:b/>
          <w:bCs w:val="0"/>
          <w:sz w:val="28"/>
          <w:szCs w:val="28"/>
        </w:rPr>
        <w:t xml:space="preserve">Cas </w:t>
      </w:r>
      <w:proofErr w:type="spellStart"/>
      <w:r>
        <w:rPr>
          <w:rFonts w:eastAsiaTheme="minorEastAsia"/>
          <w:b/>
          <w:bCs w:val="0"/>
          <w:sz w:val="28"/>
          <w:szCs w:val="28"/>
        </w:rPr>
        <w:t>d'Utilisation</w:t>
      </w:r>
      <w:proofErr w:type="spellEnd"/>
    </w:p>
    <w:p w14:paraId="4430D40F" w14:textId="77777777" w:rsidR="00894F7B" w:rsidRDefault="003F3832">
      <w:pPr>
        <w:pStyle w:val="ListParagraph"/>
        <w:numPr>
          <w:ilvl w:val="1"/>
          <w:numId w:val="32"/>
        </w:numPr>
        <w:spacing w:beforeLines="40" w:before="96" w:afterLines="40" w:after="96"/>
        <w:jc w:val="both"/>
        <w:rPr>
          <w:sz w:val="20"/>
          <w:szCs w:val="20"/>
          <w:lang w:val="fr-FR"/>
        </w:rPr>
      </w:pPr>
      <w:r>
        <w:rPr>
          <w:sz w:val="20"/>
          <w:szCs w:val="20"/>
          <w:lang w:val="fr-FR"/>
        </w:rPr>
        <w:t>Certaines utilisations des Produits comportent un risque supplémentaire et sont soumises aux exigences spécifiques énoncées à l'Annexe 1 (Cas d'Utilisation), en complément de (et sans limiter) le reste des présentes Conditions Générales d'Utilisation.</w:t>
      </w:r>
    </w:p>
    <w:p w14:paraId="2044247C" w14:textId="77777777" w:rsidR="00894F7B" w:rsidRDefault="003F3832">
      <w:pPr>
        <w:pStyle w:val="ListParagraph"/>
        <w:numPr>
          <w:ilvl w:val="1"/>
          <w:numId w:val="32"/>
        </w:numPr>
        <w:spacing w:beforeLines="40" w:before="96" w:afterLines="40" w:after="96"/>
        <w:jc w:val="both"/>
        <w:rPr>
          <w:sz w:val="20"/>
          <w:szCs w:val="20"/>
          <w:lang w:val="fr-FR"/>
        </w:rPr>
      </w:pPr>
      <w:r>
        <w:rPr>
          <w:sz w:val="20"/>
          <w:szCs w:val="20"/>
          <w:lang w:val="fr-FR"/>
        </w:rPr>
        <w:t>Sauf disposition contraire de l'Annexe 1, les termes définis ont la signification qui leur est donnée dans les Conditions Générales ou ailleurs dans les présentes Conditions Générales d'Utilisation.</w:t>
      </w:r>
    </w:p>
    <w:p w14:paraId="0E22A166" w14:textId="36E50785" w:rsidR="00DF5B9E" w:rsidRPr="00990FB6" w:rsidRDefault="00D42461" w:rsidP="00B9793A">
      <w:pPr>
        <w:pStyle w:val="HeadingnotinTOC"/>
        <w:numPr>
          <w:ilvl w:val="0"/>
          <w:numId w:val="32"/>
        </w:numPr>
        <w:rPr>
          <w:rFonts w:eastAsiaTheme="minorEastAsia"/>
          <w:b/>
          <w:bCs w:val="0"/>
          <w:sz w:val="28"/>
          <w:szCs w:val="28"/>
        </w:rPr>
      </w:pPr>
      <w:r>
        <w:rPr>
          <w:rFonts w:eastAsiaTheme="minorEastAsia"/>
          <w:b/>
          <w:bCs w:val="0"/>
          <w:sz w:val="28"/>
          <w:szCs w:val="28"/>
        </w:rPr>
        <w:t xml:space="preserve">Utilisation </w:t>
      </w:r>
      <w:proofErr w:type="spellStart"/>
      <w:r>
        <w:rPr>
          <w:rFonts w:eastAsiaTheme="minorEastAsia"/>
          <w:b/>
          <w:bCs w:val="0"/>
          <w:sz w:val="28"/>
          <w:szCs w:val="28"/>
        </w:rPr>
        <w:t>illicite</w:t>
      </w:r>
      <w:proofErr w:type="spellEnd"/>
    </w:p>
    <w:p w14:paraId="11E8B5F1" w14:textId="25265E1C" w:rsidR="00403E50" w:rsidRPr="00990FB6" w:rsidRDefault="000E1A62" w:rsidP="00B9793A">
      <w:pPr>
        <w:pStyle w:val="ListParagraph"/>
        <w:numPr>
          <w:ilvl w:val="1"/>
          <w:numId w:val="32"/>
        </w:numPr>
        <w:spacing w:beforeLines="40" w:before="96" w:afterLines="40" w:after="96"/>
        <w:contextualSpacing w:val="0"/>
        <w:jc w:val="both"/>
        <w:rPr>
          <w:sz w:val="20"/>
          <w:szCs w:val="20"/>
          <w:lang w:val="fr-FR"/>
        </w:rPr>
      </w:pPr>
      <w:bookmarkStart w:id="2" w:name="_Ref364094232"/>
      <w:r>
        <w:rPr>
          <w:sz w:val="20"/>
          <w:szCs w:val="20"/>
          <w:lang w:val="fr-FR"/>
        </w:rPr>
        <w:t>Le Client s’engage et veille à ce que les Entités du Client s’engagent, pendant toute la Durée du Contrat et après sa résiliation</w:t>
      </w:r>
      <w:bookmarkEnd w:id="2"/>
      <w:r>
        <w:rPr>
          <w:sz w:val="20"/>
          <w:szCs w:val="20"/>
          <w:lang w:val="fr-FR"/>
        </w:rPr>
        <w:t xml:space="preserve">, à n’utiliser les Produits (ou permettre qu'ils soient utilisés) de quelque manière que ce soit </w:t>
      </w:r>
    </w:p>
    <w:p w14:paraId="0EB1581D" w14:textId="165ADA2F" w:rsidR="003859A3" w:rsidRPr="00990FB6" w:rsidRDefault="00403E50" w:rsidP="00B9793A">
      <w:pPr>
        <w:pStyle w:val="ListParagraph"/>
        <w:numPr>
          <w:ilvl w:val="0"/>
          <w:numId w:val="35"/>
        </w:numPr>
        <w:spacing w:before="40" w:after="40"/>
        <w:ind w:left="1134" w:hanging="425"/>
        <w:contextualSpacing w:val="0"/>
        <w:jc w:val="both"/>
        <w:rPr>
          <w:rFonts w:eastAsiaTheme="minorEastAsia"/>
          <w:sz w:val="20"/>
          <w:szCs w:val="20"/>
          <w:lang w:val="fr-FR" w:eastAsia="en-US"/>
        </w:rPr>
      </w:pPr>
      <w:r>
        <w:rPr>
          <w:sz w:val="20"/>
          <w:szCs w:val="20"/>
          <w:lang w:val="fr-FR"/>
        </w:rPr>
        <w:t xml:space="preserve">qui </w:t>
      </w:r>
      <w:r>
        <w:rPr>
          <w:rFonts w:eastAsiaTheme="minorEastAsia"/>
          <w:sz w:val="20"/>
          <w:szCs w:val="20"/>
          <w:lang w:val="fr-FR" w:eastAsia="en-US"/>
        </w:rPr>
        <w:t xml:space="preserve">: (a) serait illégale ou illicite dans tout pays concerné </w:t>
      </w:r>
      <w:r>
        <w:rPr>
          <w:sz w:val="20"/>
          <w:szCs w:val="20"/>
          <w:lang w:val="fr-FR"/>
        </w:rPr>
        <w:t xml:space="preserve">(dans de telles circonstances, </w:t>
      </w:r>
      <w:r>
        <w:rPr>
          <w:rFonts w:eastAsiaTheme="minorEastAsia"/>
          <w:sz w:val="20"/>
          <w:szCs w:val="20"/>
          <w:lang w:val="fr-FR" w:eastAsia="en-US"/>
        </w:rPr>
        <w:t xml:space="preserve">Wireless </w:t>
      </w:r>
      <w:r>
        <w:rPr>
          <w:sz w:val="20"/>
          <w:szCs w:val="20"/>
          <w:lang w:val="fr-FR"/>
        </w:rPr>
        <w:t xml:space="preserve">Logic peut signaler les incidents aux forces de police ou à toute autre autorité concernée) </w:t>
      </w:r>
      <w:r>
        <w:rPr>
          <w:rFonts w:eastAsiaTheme="minorEastAsia"/>
          <w:sz w:val="20"/>
          <w:szCs w:val="20"/>
          <w:lang w:val="fr-FR" w:eastAsia="en-US"/>
        </w:rPr>
        <w:t>; (b) enfreindrait les droits de propriété intellectuelle de toute personne, en ce compris l'ingénierie inverse, le désassemblage ou la décompilation (ou toute autre tentative d'obtenir le code source) de tout logiciel (y compris sur une carte SIM) ; (c) serait frauduleux ; (d) perturberait le fonctionnement d'un réseau ou d'un système, notamment en transférant des données dans des quantités ou à des fréquences déraisonnables ; (e) perturberait l'accès d'un tiers à un réseau ou à un système ; (f) transmettrait des virus logiciels ou d'autres programmes invalidants ou nuisibles ; (g) viserait à obtenir ou à tenter d'obtenir un accès non autorisé à un réseau ou à un système ; (h) intercepterait les communications d'un tiers ; ou (i) jetterait le discrédit sur Wireless Logic ou sur tout Fournisseur de Réseau ;</w:t>
      </w:r>
    </w:p>
    <w:p w14:paraId="40E3CBA8" w14:textId="297238BC" w:rsidR="0036375D" w:rsidRPr="00990FB6" w:rsidRDefault="00512ECB" w:rsidP="00B9793A">
      <w:pPr>
        <w:pStyle w:val="ListParagraph"/>
        <w:numPr>
          <w:ilvl w:val="0"/>
          <w:numId w:val="35"/>
        </w:numPr>
        <w:spacing w:before="40" w:after="40"/>
        <w:ind w:left="1134" w:hanging="425"/>
        <w:contextualSpacing w:val="0"/>
        <w:jc w:val="both"/>
        <w:rPr>
          <w:sz w:val="20"/>
          <w:szCs w:val="20"/>
          <w:lang w:val="fr-FR"/>
        </w:rPr>
      </w:pPr>
      <w:proofErr w:type="gramStart"/>
      <w:r>
        <w:rPr>
          <w:sz w:val="20"/>
          <w:szCs w:val="20"/>
          <w:lang w:val="fr-FR"/>
        </w:rPr>
        <w:t>de</w:t>
      </w:r>
      <w:proofErr w:type="gramEnd"/>
      <w:r>
        <w:rPr>
          <w:sz w:val="20"/>
          <w:szCs w:val="20"/>
          <w:lang w:val="fr-FR"/>
        </w:rPr>
        <w:t xml:space="preserve"> recevoir, transmettre ou stocker des données : (a) offensantes, obscènes ou indécentes ; (b) diffamatoires, menaçantes ou discriminatoires ; (c) portant atteinte aux droits de propriété intellectuelle ou à la vie privée de toute personne ; (d) augmentant artificiellement le trafic ; ou (e) illégales ou illicites de quelque manière que ce soit ;</w:t>
      </w:r>
    </w:p>
    <w:p w14:paraId="2A58BC29" w14:textId="1CE5A0E8" w:rsidR="00D90B9F" w:rsidRPr="00990FB6" w:rsidRDefault="00D90B9F" w:rsidP="00B9793A">
      <w:pPr>
        <w:pStyle w:val="ListParagraph"/>
        <w:numPr>
          <w:ilvl w:val="0"/>
          <w:numId w:val="35"/>
        </w:numPr>
        <w:spacing w:before="40" w:after="40"/>
        <w:ind w:left="1134" w:hanging="425"/>
        <w:contextualSpacing w:val="0"/>
        <w:jc w:val="both"/>
        <w:rPr>
          <w:sz w:val="20"/>
          <w:szCs w:val="20"/>
          <w:lang w:val="fr-FR"/>
        </w:rPr>
      </w:pPr>
      <w:proofErr w:type="gramStart"/>
      <w:r>
        <w:rPr>
          <w:sz w:val="20"/>
          <w:szCs w:val="20"/>
          <w:lang w:val="fr-FR"/>
        </w:rPr>
        <w:t>qui</w:t>
      </w:r>
      <w:proofErr w:type="gramEnd"/>
      <w:r>
        <w:rPr>
          <w:sz w:val="20"/>
          <w:szCs w:val="20"/>
          <w:lang w:val="fr-FR"/>
        </w:rPr>
        <w:t xml:space="preserve"> pourrait blesser ou endommager des personnes ou des biens (qu'il s'agisse de salariés, d'agents ou de représentants de Wireless Logic ou d'un ou de plusieurs Fournisseurs de Réseau), les systèmes, ou qui entraînera une détérioration de la qualité des Produits ;</w:t>
      </w:r>
    </w:p>
    <w:p w14:paraId="5E42ACE3" w14:textId="39A819A1" w:rsidR="00060681" w:rsidRPr="00990FB6" w:rsidRDefault="00060681" w:rsidP="00B9793A">
      <w:pPr>
        <w:pStyle w:val="ListParagraph"/>
        <w:numPr>
          <w:ilvl w:val="0"/>
          <w:numId w:val="35"/>
        </w:numPr>
        <w:spacing w:before="40" w:after="40"/>
        <w:ind w:left="1134" w:hanging="425"/>
        <w:contextualSpacing w:val="0"/>
        <w:jc w:val="both"/>
        <w:rPr>
          <w:sz w:val="20"/>
          <w:szCs w:val="20"/>
          <w:lang w:val="fr-FR"/>
        </w:rPr>
      </w:pPr>
      <w:proofErr w:type="gramStart"/>
      <w:r>
        <w:rPr>
          <w:sz w:val="20"/>
          <w:szCs w:val="20"/>
          <w:lang w:val="fr-FR"/>
        </w:rPr>
        <w:lastRenderedPageBreak/>
        <w:t>qui</w:t>
      </w:r>
      <w:proofErr w:type="gramEnd"/>
      <w:r>
        <w:rPr>
          <w:sz w:val="20"/>
          <w:szCs w:val="20"/>
          <w:lang w:val="fr-FR"/>
        </w:rPr>
        <w:t xml:space="preserve"> mettrait ou pourrait mettre Wireless Logic et/ou le(s) Fournisseur(s) de Réseau concerné(s) </w:t>
      </w:r>
      <w:r>
        <w:rPr>
          <w:rFonts w:eastAsiaTheme="minorEastAsia"/>
          <w:sz w:val="20"/>
          <w:szCs w:val="20"/>
          <w:lang w:val="fr-FR" w:eastAsia="en-US"/>
        </w:rPr>
        <w:t xml:space="preserve">en infraction avec les dispositions légales applicables, d'un code de pratique et/ou de toute autre licence ou autorisation applicable à Wireless Logic et/ou au(x) Fournisseur(s) de Réseau concerné(s). </w:t>
      </w:r>
      <w:r>
        <w:rPr>
          <w:sz w:val="20"/>
          <w:szCs w:val="20"/>
          <w:lang w:val="fr-FR"/>
        </w:rPr>
        <w:t>Le Client s’engage et veille à ce que les Entités du Client coopèrent pleinement avec Wireless Logic pour permettre à Wireless Logic et/ou au(x) Fournisseur(s) de Réseau concerné(s) (selon le cas) de se conformer à toutes ces dispositions ; et</w:t>
      </w:r>
    </w:p>
    <w:p w14:paraId="62097346" w14:textId="5B97C2EF" w:rsidR="00913375" w:rsidRPr="00990FB6" w:rsidRDefault="00103E3D" w:rsidP="00D53415">
      <w:pPr>
        <w:pStyle w:val="ListParagraph"/>
        <w:numPr>
          <w:ilvl w:val="0"/>
          <w:numId w:val="35"/>
        </w:numPr>
        <w:spacing w:before="40" w:after="40"/>
        <w:ind w:left="1134" w:hanging="425"/>
        <w:contextualSpacing w:val="0"/>
        <w:jc w:val="both"/>
        <w:rPr>
          <w:sz w:val="20"/>
          <w:szCs w:val="20"/>
          <w:lang w:val="fr-FR"/>
        </w:rPr>
      </w:pPr>
      <w:proofErr w:type="gramStart"/>
      <w:r>
        <w:rPr>
          <w:sz w:val="20"/>
          <w:szCs w:val="20"/>
          <w:lang w:val="fr-FR"/>
        </w:rPr>
        <w:t>qui</w:t>
      </w:r>
      <w:proofErr w:type="gramEnd"/>
      <w:r>
        <w:rPr>
          <w:sz w:val="20"/>
          <w:szCs w:val="20"/>
          <w:lang w:val="fr-FR"/>
        </w:rPr>
        <w:t xml:space="preserve"> permettrait à un tiers (dans toute la limite permise par la loi) de copier, adapter, faire de l’ingénierie inverse, décompiler, désassembler, modifier, adapter ou réaliser des œuvres dérivées ou apporter des corrections aux Produits, en tout ou en partie.</w:t>
      </w:r>
    </w:p>
    <w:p w14:paraId="0F9F6783" w14:textId="2D7BF0EB" w:rsidR="00C53410" w:rsidRPr="00990FB6" w:rsidRDefault="00C53410" w:rsidP="626A7F8D">
      <w:pPr>
        <w:pStyle w:val="ListParagraph"/>
        <w:spacing w:beforeLines="40" w:before="96" w:afterLines="40" w:after="96"/>
        <w:jc w:val="both"/>
        <w:rPr>
          <w:sz w:val="20"/>
          <w:szCs w:val="20"/>
          <w:lang w:val="fr-FR"/>
        </w:rPr>
      </w:pPr>
      <w:bookmarkStart w:id="3" w:name="_Ref177656037"/>
      <w:r>
        <w:rPr>
          <w:sz w:val="20"/>
          <w:szCs w:val="20"/>
          <w:lang w:val="fr-FR"/>
        </w:rPr>
        <w:t>Le présent engagement consenti par le Client vaut promesse de porte fort.</w:t>
      </w:r>
    </w:p>
    <w:p w14:paraId="71386523" w14:textId="77777777" w:rsidR="00894F7B" w:rsidRDefault="003F3832">
      <w:pPr>
        <w:pStyle w:val="ListParagraph"/>
        <w:numPr>
          <w:ilvl w:val="1"/>
          <w:numId w:val="32"/>
        </w:numPr>
        <w:spacing w:beforeLines="40" w:before="96" w:afterLines="40" w:after="96"/>
        <w:jc w:val="both"/>
        <w:rPr>
          <w:sz w:val="20"/>
          <w:szCs w:val="20"/>
          <w:lang w:val="fr-FR"/>
        </w:rPr>
      </w:pPr>
      <w:r>
        <w:rPr>
          <w:sz w:val="20"/>
          <w:szCs w:val="20"/>
          <w:lang w:val="fr-FR"/>
        </w:rPr>
        <w:t>Les Produits ne doivent pas être utilisés dans le cadre d'une application qui : (i) vise à causer la mort, des blessures corporelles ou des dommages matériels ; (ii) présente un risque important pour la vie humaine, les infrastructures critiques ou la sécurité publique ; ou (iii) constitue par ailleurs une utilisation illicite, nuisible ou contraire à l'éthique des services de connectivité.</w:t>
      </w:r>
    </w:p>
    <w:p w14:paraId="050CF4C4" w14:textId="1E968600" w:rsidR="0084131D" w:rsidRPr="00990FB6" w:rsidRDefault="00A96F46" w:rsidP="00913375">
      <w:pPr>
        <w:pStyle w:val="ListParagraph"/>
        <w:numPr>
          <w:ilvl w:val="1"/>
          <w:numId w:val="32"/>
        </w:numPr>
        <w:spacing w:beforeLines="40" w:before="96" w:afterLines="40" w:after="96"/>
        <w:jc w:val="both"/>
        <w:rPr>
          <w:sz w:val="20"/>
          <w:szCs w:val="20"/>
          <w:lang w:val="fr-FR"/>
        </w:rPr>
      </w:pPr>
      <w:r>
        <w:rPr>
          <w:sz w:val="20"/>
          <w:szCs w:val="20"/>
          <w:lang w:val="fr-FR"/>
        </w:rPr>
        <w:t>Pour certains Produits, en particulier ceux vendus avec une utilisation « illimitée », Wireless Logic met en œuvre des conditions générales d’utilisation dédiées. Seront considérées comme une violation desdites conditions générales d’utilisation :</w:t>
      </w:r>
      <w:bookmarkEnd w:id="3"/>
    </w:p>
    <w:p w14:paraId="5D16B674" w14:textId="5ACC1CC1" w:rsidR="0084131D" w:rsidRPr="00990FB6" w:rsidRDefault="0084131D" w:rsidP="00D53415">
      <w:pPr>
        <w:pStyle w:val="ListParagraph"/>
        <w:numPr>
          <w:ilvl w:val="0"/>
          <w:numId w:val="37"/>
        </w:numPr>
        <w:spacing w:before="40" w:after="40"/>
        <w:ind w:left="1134" w:hanging="425"/>
        <w:contextualSpacing w:val="0"/>
        <w:jc w:val="both"/>
        <w:rPr>
          <w:sz w:val="20"/>
          <w:szCs w:val="20"/>
          <w:lang w:val="fr-FR"/>
        </w:rPr>
      </w:pPr>
      <w:r>
        <w:rPr>
          <w:sz w:val="20"/>
          <w:szCs w:val="20"/>
          <w:lang w:val="fr-FR"/>
        </w:rPr>
        <w:t>Toute utilisation en dehors des pratiques commerciales normales ;</w:t>
      </w:r>
    </w:p>
    <w:p w14:paraId="69281B7F" w14:textId="549B772F" w:rsidR="005D228F" w:rsidRPr="00990FB6" w:rsidRDefault="005D228F" w:rsidP="00D53415">
      <w:pPr>
        <w:pStyle w:val="ListParagraph"/>
        <w:numPr>
          <w:ilvl w:val="0"/>
          <w:numId w:val="37"/>
        </w:numPr>
        <w:spacing w:before="40" w:after="40"/>
        <w:ind w:left="1134" w:hanging="425"/>
        <w:contextualSpacing w:val="0"/>
        <w:jc w:val="both"/>
        <w:rPr>
          <w:sz w:val="20"/>
          <w:szCs w:val="20"/>
          <w:lang w:val="fr-FR"/>
        </w:rPr>
      </w:pPr>
      <w:r>
        <w:rPr>
          <w:sz w:val="20"/>
          <w:szCs w:val="20"/>
          <w:lang w:val="fr-FR"/>
        </w:rPr>
        <w:t>Toute utilisation de dispositifs non autorisés par Wireless Logic ;</w:t>
      </w:r>
    </w:p>
    <w:p w14:paraId="4B626345" w14:textId="4598FDDD" w:rsidR="0084131D" w:rsidRPr="00990FB6" w:rsidRDefault="0084131D" w:rsidP="00D53415">
      <w:pPr>
        <w:pStyle w:val="ListParagraph"/>
        <w:numPr>
          <w:ilvl w:val="0"/>
          <w:numId w:val="37"/>
        </w:numPr>
        <w:spacing w:before="40" w:after="40"/>
        <w:ind w:left="1134" w:hanging="425"/>
        <w:contextualSpacing w:val="0"/>
        <w:jc w:val="both"/>
        <w:rPr>
          <w:sz w:val="20"/>
          <w:szCs w:val="20"/>
          <w:lang w:val="fr-FR"/>
        </w:rPr>
      </w:pPr>
      <w:proofErr w:type="gramStart"/>
      <w:r>
        <w:rPr>
          <w:sz w:val="20"/>
          <w:szCs w:val="20"/>
          <w:lang w:val="fr-FR"/>
        </w:rPr>
        <w:t>toute</w:t>
      </w:r>
      <w:proofErr w:type="gramEnd"/>
      <w:r>
        <w:rPr>
          <w:sz w:val="20"/>
          <w:szCs w:val="20"/>
          <w:lang w:val="fr-FR"/>
        </w:rPr>
        <w:t xml:space="preserve"> utilisation effectuée par des moyens automatisés (voir également l’article « Passerelle » ci-dessous) ; et</w:t>
      </w:r>
    </w:p>
    <w:p w14:paraId="2C3CEEA6" w14:textId="625F70F8" w:rsidR="0084131D" w:rsidRPr="00990FB6" w:rsidRDefault="0084131D" w:rsidP="00D53415">
      <w:pPr>
        <w:pStyle w:val="ListParagraph"/>
        <w:numPr>
          <w:ilvl w:val="0"/>
          <w:numId w:val="37"/>
        </w:numPr>
        <w:spacing w:before="40" w:after="40"/>
        <w:ind w:left="1134" w:hanging="425"/>
        <w:contextualSpacing w:val="0"/>
        <w:jc w:val="both"/>
        <w:rPr>
          <w:sz w:val="20"/>
          <w:szCs w:val="20"/>
          <w:lang w:val="fr-FR"/>
        </w:rPr>
      </w:pPr>
      <w:proofErr w:type="gramStart"/>
      <w:r>
        <w:rPr>
          <w:sz w:val="20"/>
          <w:szCs w:val="20"/>
          <w:lang w:val="fr-FR"/>
        </w:rPr>
        <w:t>l'utilisation</w:t>
      </w:r>
      <w:proofErr w:type="gramEnd"/>
      <w:r>
        <w:rPr>
          <w:sz w:val="20"/>
          <w:szCs w:val="20"/>
          <w:lang w:val="fr-FR"/>
        </w:rPr>
        <w:t xml:space="preserve"> de données lorsque les Utilisateurs Finaux se connectent régulièrement à 12 appareils ou plus ou ont dépassé le seuil par connexion et par mois (détaillé dans l’Avenant sur les Prix sous la rubrique « Usage inclus ») à deux reprises au cours d'une période de 6 mois.</w:t>
      </w:r>
    </w:p>
    <w:p w14:paraId="1B8CE37B" w14:textId="33ED3F7C" w:rsidR="00894F7B" w:rsidRDefault="003F3832">
      <w:pPr>
        <w:pStyle w:val="ListParagraph"/>
        <w:numPr>
          <w:ilvl w:val="1"/>
          <w:numId w:val="32"/>
        </w:numPr>
        <w:spacing w:beforeLines="40" w:before="96" w:afterLines="40" w:after="96"/>
        <w:jc w:val="both"/>
        <w:rPr>
          <w:b/>
          <w:bCs/>
          <w:sz w:val="20"/>
          <w:szCs w:val="20"/>
          <w:lang w:val="fr-FR"/>
        </w:rPr>
      </w:pPr>
      <w:r>
        <w:rPr>
          <w:sz w:val="20"/>
          <w:szCs w:val="20"/>
          <w:lang w:val="fr-FR"/>
        </w:rPr>
        <w:t>Wireless Logic peut auditer l'utilisation d'un Client afin de vérifier que celle-ci est conforme avec les dispositions des présentes Conditions Générales d'Utilisation et aux conditions générales d’utilisation mises en œuvre, le cas échéant, en vertu des dispositions du paragraphe 3.3. Si Wireless Logic soupçonne raisonnablement que l'utilisation du Client est en violation avec les dispositions des paragraphes 3.1 ou 3.2 et/ou conditions générales d’utilisation, le cas échéant, en vertu des dispositions du paragraphe 3.3, Wireless Logic se réserve le droit, en fonction de la gravité de la violation, de restreindre les Services, ou de suspendre ou de résilier les Services conformément aux dispositions des articles 22.1(f) (Suspension) et 23.4(d) (Résiliation) des Conditions Générales.</w:t>
      </w:r>
    </w:p>
    <w:p w14:paraId="36669324" w14:textId="1EBB559C" w:rsidR="000D0230" w:rsidRPr="00990FB6" w:rsidRDefault="000D0230" w:rsidP="00B9793A">
      <w:pPr>
        <w:pStyle w:val="HeadingnotinTOC"/>
        <w:numPr>
          <w:ilvl w:val="0"/>
          <w:numId w:val="32"/>
        </w:numPr>
        <w:rPr>
          <w:rFonts w:eastAsiaTheme="minorEastAsia"/>
          <w:b/>
          <w:bCs w:val="0"/>
          <w:sz w:val="28"/>
          <w:szCs w:val="28"/>
          <w:lang w:val="fr-FR"/>
        </w:rPr>
      </w:pPr>
      <w:r>
        <w:rPr>
          <w:rFonts w:eastAsiaTheme="minorEastAsia"/>
          <w:b/>
          <w:bCs w:val="0"/>
          <w:sz w:val="28"/>
          <w:szCs w:val="28"/>
          <w:lang w:val="fr-FR"/>
        </w:rPr>
        <w:t>Trafic Frauduleux</w:t>
      </w:r>
    </w:p>
    <w:p w14:paraId="2AF15D49" w14:textId="32ED49A9" w:rsidR="00787395" w:rsidRPr="00990FB6" w:rsidRDefault="00787395" w:rsidP="00B9793A">
      <w:pPr>
        <w:pStyle w:val="ListParagraph"/>
        <w:numPr>
          <w:ilvl w:val="1"/>
          <w:numId w:val="32"/>
        </w:numPr>
        <w:spacing w:beforeLines="40" w:before="96" w:afterLines="40" w:after="96"/>
        <w:contextualSpacing w:val="0"/>
        <w:jc w:val="both"/>
        <w:rPr>
          <w:sz w:val="20"/>
          <w:szCs w:val="20"/>
          <w:lang w:val="fr-FR"/>
        </w:rPr>
      </w:pPr>
      <w:r>
        <w:rPr>
          <w:sz w:val="20"/>
          <w:szCs w:val="20"/>
          <w:lang w:val="fr-FR"/>
        </w:rPr>
        <w:t>Le Client s’engage et veille à ce que les Entités du Client, pendant toute la Durée du Contrat, n’utilisent les Produits pour générer du faux trafic, trompeur, malveillant, nuisible, illégal ou perturbateur ("</w:t>
      </w:r>
      <w:r>
        <w:rPr>
          <w:b/>
          <w:bCs/>
          <w:sz w:val="20"/>
          <w:szCs w:val="20"/>
          <w:lang w:val="fr-FR"/>
        </w:rPr>
        <w:t>Trafic Frauduleux</w:t>
      </w:r>
      <w:r>
        <w:rPr>
          <w:sz w:val="20"/>
          <w:szCs w:val="20"/>
          <w:lang w:val="fr-FR"/>
        </w:rPr>
        <w:t>").</w:t>
      </w:r>
    </w:p>
    <w:p w14:paraId="3C78C987" w14:textId="45C12EDD" w:rsidR="000D0230" w:rsidRPr="00990FB6" w:rsidRDefault="000D0230" w:rsidP="00B9793A">
      <w:pPr>
        <w:pStyle w:val="ListParagraph"/>
        <w:numPr>
          <w:ilvl w:val="1"/>
          <w:numId w:val="32"/>
        </w:numPr>
        <w:spacing w:beforeLines="40" w:before="96" w:afterLines="40" w:after="96"/>
        <w:contextualSpacing w:val="0"/>
        <w:jc w:val="both"/>
        <w:rPr>
          <w:rFonts w:eastAsiaTheme="minorEastAsia"/>
          <w:sz w:val="20"/>
          <w:szCs w:val="20"/>
          <w:lang w:val="fr-FR" w:eastAsia="en-US"/>
        </w:rPr>
      </w:pPr>
      <w:r>
        <w:rPr>
          <w:rFonts w:eastAsiaTheme="minorEastAsia"/>
          <w:sz w:val="20"/>
          <w:szCs w:val="20"/>
          <w:lang w:val="fr-FR" w:eastAsia="en-US"/>
        </w:rPr>
        <w:t>Les indicateurs pouvant servir de référence pour déterminer le Trafic Frauduleux sont notamment les suivants :</w:t>
      </w:r>
    </w:p>
    <w:p w14:paraId="00D80F65" w14:textId="3A1CBE7D" w:rsidR="000D0230" w:rsidRPr="00990FB6" w:rsidRDefault="000D0230" w:rsidP="00D53415">
      <w:pPr>
        <w:pStyle w:val="ListParagraph"/>
        <w:numPr>
          <w:ilvl w:val="0"/>
          <w:numId w:val="49"/>
        </w:numPr>
        <w:spacing w:before="40" w:after="40"/>
        <w:contextualSpacing w:val="0"/>
        <w:jc w:val="both"/>
        <w:rPr>
          <w:sz w:val="20"/>
          <w:szCs w:val="20"/>
          <w:lang w:val="fr-FR"/>
        </w:rPr>
      </w:pPr>
      <w:proofErr w:type="gramStart"/>
      <w:r>
        <w:rPr>
          <w:sz w:val="20"/>
          <w:szCs w:val="20"/>
          <w:lang w:val="fr-FR"/>
        </w:rPr>
        <w:t>une</w:t>
      </w:r>
      <w:proofErr w:type="gramEnd"/>
      <w:r>
        <w:rPr>
          <w:sz w:val="20"/>
          <w:szCs w:val="20"/>
          <w:lang w:val="fr-FR"/>
        </w:rPr>
        <w:t xml:space="preserve"> part importante du trafic est générée par un nombre limité de cartes SIM/numéros A/IMSI ;</w:t>
      </w:r>
    </w:p>
    <w:p w14:paraId="7BD356E0" w14:textId="2B489B7E" w:rsidR="000D0230" w:rsidRPr="00990FB6" w:rsidRDefault="000D0230" w:rsidP="00D53415">
      <w:pPr>
        <w:pStyle w:val="ListParagraph"/>
        <w:numPr>
          <w:ilvl w:val="0"/>
          <w:numId w:val="49"/>
        </w:numPr>
        <w:spacing w:before="40" w:after="40"/>
        <w:ind w:left="1134" w:hanging="425"/>
        <w:contextualSpacing w:val="0"/>
        <w:jc w:val="both"/>
        <w:rPr>
          <w:sz w:val="20"/>
          <w:szCs w:val="20"/>
          <w:lang w:val="fr-FR"/>
        </w:rPr>
      </w:pPr>
      <w:proofErr w:type="gramStart"/>
      <w:r>
        <w:rPr>
          <w:sz w:val="20"/>
          <w:szCs w:val="20"/>
          <w:lang w:val="fr-FR"/>
        </w:rPr>
        <w:t>une</w:t>
      </w:r>
      <w:proofErr w:type="gramEnd"/>
      <w:r>
        <w:rPr>
          <w:sz w:val="20"/>
          <w:szCs w:val="20"/>
          <w:lang w:val="fr-FR"/>
        </w:rPr>
        <w:t xml:space="preserve"> part importante du trafic est effectuée vers des numéros de service inhabituels (par exemple, numéros à tarif majoré, numéros de service à valeur ajoutée, numéros de service de conférence, réseaux satellitaires, etc. En règle générale, il s'agit de quelques numéros B ou de quelques plages de numéros B ;</w:t>
      </w:r>
    </w:p>
    <w:p w14:paraId="75B8D0A0" w14:textId="70E8953F" w:rsidR="000D0230" w:rsidRPr="00990FB6" w:rsidRDefault="000D0230" w:rsidP="00D53415">
      <w:pPr>
        <w:pStyle w:val="ListParagraph"/>
        <w:numPr>
          <w:ilvl w:val="0"/>
          <w:numId w:val="49"/>
        </w:numPr>
        <w:spacing w:before="40" w:after="40"/>
        <w:ind w:left="1134" w:hanging="425"/>
        <w:contextualSpacing w:val="0"/>
        <w:jc w:val="both"/>
        <w:rPr>
          <w:sz w:val="20"/>
          <w:szCs w:val="20"/>
          <w:lang w:val="fr-FR"/>
        </w:rPr>
      </w:pPr>
      <w:proofErr w:type="gramStart"/>
      <w:r>
        <w:rPr>
          <w:sz w:val="20"/>
          <w:szCs w:val="20"/>
          <w:lang w:val="fr-FR"/>
        </w:rPr>
        <w:t>les</w:t>
      </w:r>
      <w:proofErr w:type="gramEnd"/>
      <w:r>
        <w:rPr>
          <w:sz w:val="20"/>
          <w:szCs w:val="20"/>
          <w:lang w:val="fr-FR"/>
        </w:rPr>
        <w:t xml:space="preserve"> appels effectués à une fréquence élevée ;</w:t>
      </w:r>
    </w:p>
    <w:p w14:paraId="4E287C3E" w14:textId="662EC61C" w:rsidR="000D0230" w:rsidRPr="00990FB6" w:rsidRDefault="000D0230" w:rsidP="00D53415">
      <w:pPr>
        <w:pStyle w:val="ListParagraph"/>
        <w:numPr>
          <w:ilvl w:val="0"/>
          <w:numId w:val="49"/>
        </w:numPr>
        <w:spacing w:before="40" w:after="40"/>
        <w:ind w:left="1134" w:hanging="425"/>
        <w:contextualSpacing w:val="0"/>
        <w:jc w:val="both"/>
        <w:rPr>
          <w:sz w:val="20"/>
          <w:szCs w:val="20"/>
          <w:lang w:val="fr-FR"/>
        </w:rPr>
      </w:pPr>
      <w:proofErr w:type="gramStart"/>
      <w:r>
        <w:rPr>
          <w:sz w:val="20"/>
          <w:szCs w:val="20"/>
          <w:lang w:val="fr-FR"/>
        </w:rPr>
        <w:lastRenderedPageBreak/>
        <w:t>les</w:t>
      </w:r>
      <w:proofErr w:type="gramEnd"/>
      <w:r>
        <w:rPr>
          <w:sz w:val="20"/>
          <w:szCs w:val="20"/>
          <w:lang w:val="fr-FR"/>
        </w:rPr>
        <w:t xml:space="preserve"> appels de longue durée ; et</w:t>
      </w:r>
    </w:p>
    <w:p w14:paraId="318C7374" w14:textId="2BC2694E" w:rsidR="00CB696F" w:rsidRPr="00990FB6" w:rsidRDefault="000D31E5" w:rsidP="00D53415">
      <w:pPr>
        <w:pStyle w:val="ListParagraph"/>
        <w:numPr>
          <w:ilvl w:val="0"/>
          <w:numId w:val="49"/>
        </w:numPr>
        <w:spacing w:before="40" w:after="40"/>
        <w:ind w:left="1134" w:hanging="425"/>
        <w:contextualSpacing w:val="0"/>
        <w:jc w:val="both"/>
        <w:rPr>
          <w:rFonts w:eastAsiaTheme="minorEastAsia"/>
          <w:sz w:val="20"/>
          <w:szCs w:val="20"/>
          <w:lang w:val="fr-FR" w:eastAsia="en-US"/>
        </w:rPr>
      </w:pPr>
      <w:proofErr w:type="gramStart"/>
      <w:r>
        <w:rPr>
          <w:sz w:val="20"/>
          <w:szCs w:val="20"/>
          <w:lang w:val="fr-FR"/>
        </w:rPr>
        <w:t>les</w:t>
      </w:r>
      <w:proofErr w:type="gramEnd"/>
      <w:r>
        <w:rPr>
          <w:sz w:val="20"/>
          <w:szCs w:val="20"/>
          <w:lang w:val="fr-FR"/>
        </w:rPr>
        <w:t xml:space="preserve"> tentatives d'appel à une fréquence élevée (génération d'un trafic de signalisation important</w:t>
      </w:r>
      <w:r>
        <w:rPr>
          <w:rFonts w:hint="eastAsia"/>
          <w:sz w:val="20"/>
          <w:szCs w:val="20"/>
          <w:lang w:val="fr-FR"/>
        </w:rPr>
        <w:t>)</w:t>
      </w:r>
      <w:r>
        <w:rPr>
          <w:sz w:val="20"/>
          <w:szCs w:val="20"/>
          <w:lang w:val="fr-FR"/>
        </w:rPr>
        <w:t>.</w:t>
      </w:r>
    </w:p>
    <w:p w14:paraId="4FFF592D" w14:textId="65F174E1" w:rsidR="00D9768F" w:rsidRPr="00990FB6" w:rsidRDefault="00D9768F" w:rsidP="00B9793A">
      <w:pPr>
        <w:pStyle w:val="HeadingnotinTOC"/>
        <w:numPr>
          <w:ilvl w:val="0"/>
          <w:numId w:val="32"/>
        </w:numPr>
        <w:rPr>
          <w:rFonts w:eastAsiaTheme="minorEastAsia"/>
          <w:b/>
          <w:bCs w:val="0"/>
          <w:sz w:val="28"/>
          <w:szCs w:val="28"/>
        </w:rPr>
      </w:pPr>
      <w:r>
        <w:rPr>
          <w:rFonts w:eastAsiaTheme="minorEastAsia"/>
          <w:b/>
          <w:bCs w:val="0"/>
          <w:sz w:val="28"/>
          <w:szCs w:val="28"/>
        </w:rPr>
        <w:t xml:space="preserve">Services </w:t>
      </w:r>
      <w:r>
        <w:rPr>
          <w:rFonts w:eastAsiaTheme="minorEastAsia"/>
          <w:b/>
          <w:bCs w:val="0"/>
          <w:i/>
          <w:iCs/>
          <w:sz w:val="28"/>
          <w:szCs w:val="28"/>
        </w:rPr>
        <w:t>Machine to Machine</w:t>
      </w:r>
      <w:r>
        <w:rPr>
          <w:rFonts w:eastAsiaTheme="minorEastAsia"/>
          <w:b/>
          <w:bCs w:val="0"/>
          <w:sz w:val="28"/>
          <w:szCs w:val="28"/>
        </w:rPr>
        <w:t xml:space="preserve"> </w:t>
      </w:r>
    </w:p>
    <w:p w14:paraId="4D674E6F" w14:textId="1D59E501" w:rsidR="006A62D8" w:rsidRPr="00990FB6" w:rsidRDefault="006A62D8" w:rsidP="00B9793A">
      <w:pPr>
        <w:pStyle w:val="ListParagraph"/>
        <w:numPr>
          <w:ilvl w:val="1"/>
          <w:numId w:val="32"/>
        </w:numPr>
        <w:spacing w:beforeLines="40" w:before="96" w:afterLines="40" w:after="96"/>
        <w:contextualSpacing w:val="0"/>
        <w:jc w:val="both"/>
        <w:rPr>
          <w:rFonts w:eastAsiaTheme="minorEastAsia"/>
          <w:sz w:val="20"/>
          <w:szCs w:val="20"/>
          <w:lang w:val="fr-FR" w:eastAsia="en-US"/>
        </w:rPr>
      </w:pPr>
      <w:r>
        <w:rPr>
          <w:rFonts w:eastAsiaTheme="minorEastAsia"/>
          <w:sz w:val="20"/>
          <w:szCs w:val="20"/>
          <w:lang w:val="fr-FR" w:eastAsia="en-US"/>
        </w:rPr>
        <w:t xml:space="preserve">Le Client </w:t>
      </w:r>
      <w:r>
        <w:rPr>
          <w:sz w:val="20"/>
          <w:szCs w:val="20"/>
          <w:lang w:val="fr-FR"/>
        </w:rPr>
        <w:t xml:space="preserve">s’engage </w:t>
      </w:r>
      <w:r>
        <w:rPr>
          <w:rFonts w:eastAsiaTheme="minorEastAsia"/>
          <w:sz w:val="20"/>
          <w:szCs w:val="20"/>
          <w:lang w:val="fr-FR" w:eastAsia="en-US"/>
        </w:rPr>
        <w:t xml:space="preserve">et fournit ses meilleurs efforts que les Entités du Client garantissent que les Produits fournis soient utilisés uniquement en relation avec les services </w:t>
      </w:r>
      <w:r>
        <w:rPr>
          <w:rFonts w:eastAsiaTheme="minorEastAsia"/>
          <w:i/>
          <w:iCs/>
          <w:sz w:val="20"/>
          <w:szCs w:val="20"/>
          <w:lang w:val="fr-FR" w:eastAsia="en-US"/>
        </w:rPr>
        <w:t>Machine to Machine</w:t>
      </w:r>
      <w:r>
        <w:rPr>
          <w:rFonts w:eastAsiaTheme="minorEastAsia"/>
          <w:sz w:val="20"/>
          <w:szCs w:val="20"/>
          <w:lang w:val="fr-FR" w:eastAsia="en-US"/>
        </w:rPr>
        <w:t xml:space="preserve"> et que les Produits ne soient pas utilisés pour effectuer une action qui :</w:t>
      </w:r>
    </w:p>
    <w:p w14:paraId="0F38C5E1" w14:textId="48E5FCB3" w:rsidR="006A62D8" w:rsidRPr="00990FB6" w:rsidRDefault="006A62D8" w:rsidP="00D53415">
      <w:pPr>
        <w:pStyle w:val="ListParagraph"/>
        <w:numPr>
          <w:ilvl w:val="1"/>
          <w:numId w:val="3"/>
        </w:numPr>
        <w:spacing w:before="8" w:after="8"/>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implique</w:t>
      </w:r>
      <w:proofErr w:type="gramEnd"/>
      <w:r>
        <w:rPr>
          <w:rFonts w:eastAsiaTheme="minorEastAsia"/>
          <w:sz w:val="20"/>
          <w:szCs w:val="20"/>
          <w:lang w:val="fr-FR" w:eastAsia="en-US"/>
        </w:rPr>
        <w:t xml:space="preserve"> la transmission de la voix (y compris VOIP), sauf dispositions contraires (voir article 7 ci-dessous) ;</w:t>
      </w:r>
    </w:p>
    <w:p w14:paraId="100BFC24" w14:textId="36F0B96E" w:rsidR="006A62D8" w:rsidRPr="00990FB6" w:rsidRDefault="006A62D8" w:rsidP="00D53415">
      <w:pPr>
        <w:pStyle w:val="ListParagraph"/>
        <w:numPr>
          <w:ilvl w:val="1"/>
          <w:numId w:val="3"/>
        </w:numPr>
        <w:spacing w:before="8" w:after="8"/>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implique</w:t>
      </w:r>
      <w:proofErr w:type="gramEnd"/>
      <w:r>
        <w:rPr>
          <w:rFonts w:eastAsiaTheme="minorEastAsia"/>
          <w:sz w:val="20"/>
          <w:szCs w:val="20"/>
          <w:lang w:val="fr-FR" w:eastAsia="en-US"/>
        </w:rPr>
        <w:t xml:space="preserve"> la fourniture de tout service via les Produits qui permet à un Utilisateur Final ou à toute autre personne d'accéder à une adresse publique (c'est-à-dire une adresse IP publique), y compris par l'utilisation d'un proxy, d'un tunnel, d'une passerelle ou d'un routage ;</w:t>
      </w:r>
    </w:p>
    <w:p w14:paraId="36D4BBC8" w14:textId="553DA2DB" w:rsidR="006A62D8" w:rsidRPr="00990FB6" w:rsidRDefault="006A62D8" w:rsidP="00D53415">
      <w:pPr>
        <w:pStyle w:val="ListParagraph"/>
        <w:numPr>
          <w:ilvl w:val="1"/>
          <w:numId w:val="3"/>
        </w:numPr>
        <w:spacing w:before="8" w:after="8"/>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violerait</w:t>
      </w:r>
      <w:proofErr w:type="gramEnd"/>
      <w:r>
        <w:rPr>
          <w:rFonts w:eastAsiaTheme="minorEastAsia"/>
          <w:sz w:val="20"/>
          <w:szCs w:val="20"/>
          <w:lang w:val="fr-FR" w:eastAsia="en-US"/>
        </w:rPr>
        <w:t xml:space="preserve"> un droit d'auteur, une marque, un secret d’affaires ou tout autre droit d'un tiers ;</w:t>
      </w:r>
    </w:p>
    <w:p w14:paraId="1A34C52B" w14:textId="104112A4" w:rsidR="006A62D8" w:rsidRPr="00990FB6" w:rsidRDefault="006A62D8" w:rsidP="00D53415">
      <w:pPr>
        <w:pStyle w:val="ListParagraph"/>
        <w:numPr>
          <w:ilvl w:val="1"/>
          <w:numId w:val="3"/>
        </w:numPr>
        <w:spacing w:before="8" w:after="8"/>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pourrait</w:t>
      </w:r>
      <w:proofErr w:type="gramEnd"/>
      <w:r>
        <w:rPr>
          <w:rFonts w:eastAsiaTheme="minorEastAsia"/>
          <w:sz w:val="20"/>
          <w:szCs w:val="20"/>
          <w:lang w:val="fr-FR" w:eastAsia="en-US"/>
        </w:rPr>
        <w:t xml:space="preserve"> interférer avec l'utilisation par d'autres utilisateurs du réseau de Wireless Logic et/ou du (des) Fournisseur(s) de Réseau concerné(s) ;</w:t>
      </w:r>
    </w:p>
    <w:p w14:paraId="757CD078" w14:textId="63FA1048" w:rsidR="006A62D8" w:rsidRPr="00990FB6" w:rsidRDefault="006A62D8" w:rsidP="00D53415">
      <w:pPr>
        <w:pStyle w:val="ListParagraph"/>
        <w:numPr>
          <w:ilvl w:val="1"/>
          <w:numId w:val="3"/>
        </w:numPr>
        <w:spacing w:before="8" w:after="8"/>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impliquent</w:t>
      </w:r>
      <w:proofErr w:type="gramEnd"/>
      <w:r>
        <w:rPr>
          <w:rFonts w:eastAsiaTheme="minorEastAsia"/>
          <w:sz w:val="20"/>
          <w:szCs w:val="20"/>
          <w:lang w:val="fr-FR" w:eastAsia="en-US"/>
        </w:rPr>
        <w:t xml:space="preserve"> l'ajout, la suppression ou la modification des informations relatives à la tête du réseau dans le but de tromper ;</w:t>
      </w:r>
    </w:p>
    <w:p w14:paraId="5056813B" w14:textId="04AFFBB7" w:rsidR="006A62D8" w:rsidRPr="00990FB6" w:rsidRDefault="006A62D8" w:rsidP="00D53415">
      <w:pPr>
        <w:pStyle w:val="ListParagraph"/>
        <w:numPr>
          <w:ilvl w:val="1"/>
          <w:numId w:val="3"/>
        </w:numPr>
        <w:spacing w:before="8" w:after="8"/>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utilise</w:t>
      </w:r>
      <w:proofErr w:type="gramEnd"/>
      <w:r>
        <w:rPr>
          <w:rFonts w:eastAsiaTheme="minorEastAsia"/>
          <w:sz w:val="20"/>
          <w:szCs w:val="20"/>
          <w:lang w:val="fr-FR" w:eastAsia="en-US"/>
        </w:rPr>
        <w:t xml:space="preserve"> les Produits pour accéder ou tenter d'accéder aux comptes d'autres personnes, ou pour enfreindre ou tenter d’enfreindre les mesures de sécurité des logiciels ou du matériel informatique, du système de communications électroniques ou du système de télécommunications de Wireless Logic et/ou du (des) Fournisseur(s) de Réseau concerné(s) ou d'une autre entité, que l'intrusion entraîne ou non la corruption ou la perte de données ;</w:t>
      </w:r>
    </w:p>
    <w:p w14:paraId="21A8952B" w14:textId="14636C3B" w:rsidR="006A62D8" w:rsidRPr="00990FB6" w:rsidRDefault="006A62D8" w:rsidP="00D53415">
      <w:pPr>
        <w:pStyle w:val="ListParagraph"/>
        <w:numPr>
          <w:ilvl w:val="1"/>
          <w:numId w:val="3"/>
        </w:numPr>
        <w:spacing w:before="8" w:after="8"/>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utilise</w:t>
      </w:r>
      <w:proofErr w:type="gramEnd"/>
      <w:r>
        <w:rPr>
          <w:rFonts w:eastAsiaTheme="minorEastAsia"/>
          <w:sz w:val="20"/>
          <w:szCs w:val="20"/>
          <w:lang w:val="fr-FR" w:eastAsia="en-US"/>
        </w:rPr>
        <w:t xml:space="preserve"> les Produits ou les logiciels liés à </w:t>
      </w:r>
      <w:r>
        <w:rPr>
          <w:rFonts w:eastAsiaTheme="minorEastAsia"/>
          <w:i/>
          <w:iCs/>
          <w:sz w:val="20"/>
          <w:szCs w:val="20"/>
          <w:lang w:val="fr-FR" w:eastAsia="en-US"/>
        </w:rPr>
        <w:t>l'Internet Relay Chat</w:t>
      </w:r>
      <w:r>
        <w:rPr>
          <w:rFonts w:eastAsiaTheme="minorEastAsia"/>
          <w:sz w:val="20"/>
          <w:szCs w:val="20"/>
          <w:lang w:val="fr-FR" w:eastAsia="en-US"/>
        </w:rPr>
        <w:t xml:space="preserve"> ("</w:t>
      </w:r>
      <w:r>
        <w:rPr>
          <w:rFonts w:eastAsiaTheme="minorEastAsia"/>
          <w:b/>
          <w:bCs/>
          <w:sz w:val="20"/>
          <w:szCs w:val="20"/>
          <w:lang w:val="fr-FR" w:eastAsia="en-US"/>
        </w:rPr>
        <w:t>IRC</w:t>
      </w:r>
      <w:r>
        <w:rPr>
          <w:rFonts w:eastAsiaTheme="minorEastAsia"/>
          <w:sz w:val="20"/>
          <w:szCs w:val="20"/>
          <w:lang w:val="fr-FR" w:eastAsia="en-US"/>
        </w:rPr>
        <w:t xml:space="preserve">"), au partage de fichiers </w:t>
      </w:r>
      <w:r>
        <w:rPr>
          <w:rFonts w:eastAsiaTheme="minorEastAsia"/>
          <w:i/>
          <w:iCs/>
          <w:sz w:val="20"/>
          <w:szCs w:val="20"/>
          <w:lang w:val="fr-FR" w:eastAsia="en-US"/>
        </w:rPr>
        <w:t>Peer to Peer</w:t>
      </w:r>
      <w:r>
        <w:rPr>
          <w:rFonts w:eastAsiaTheme="minorEastAsia"/>
          <w:sz w:val="20"/>
          <w:szCs w:val="20"/>
          <w:lang w:val="fr-FR" w:eastAsia="en-US"/>
        </w:rPr>
        <w:t xml:space="preserve"> ("</w:t>
      </w:r>
      <w:r>
        <w:rPr>
          <w:rFonts w:eastAsiaTheme="minorEastAsia"/>
          <w:b/>
          <w:bCs/>
          <w:sz w:val="20"/>
          <w:szCs w:val="20"/>
          <w:lang w:val="fr-FR" w:eastAsia="en-US"/>
        </w:rPr>
        <w:t>P2P</w:t>
      </w:r>
      <w:r>
        <w:rPr>
          <w:rFonts w:eastAsiaTheme="minorEastAsia"/>
          <w:sz w:val="20"/>
          <w:szCs w:val="20"/>
          <w:lang w:val="fr-FR" w:eastAsia="en-US"/>
        </w:rPr>
        <w:t xml:space="preserve">"), au </w:t>
      </w:r>
      <w:proofErr w:type="spellStart"/>
      <w:r>
        <w:rPr>
          <w:rFonts w:eastAsiaTheme="minorEastAsia"/>
          <w:i/>
          <w:iCs/>
          <w:sz w:val="20"/>
          <w:szCs w:val="20"/>
          <w:lang w:val="fr-FR" w:eastAsia="en-US"/>
        </w:rPr>
        <w:t>BitTorrent</w:t>
      </w:r>
      <w:proofErr w:type="spellEnd"/>
      <w:r>
        <w:rPr>
          <w:rFonts w:eastAsiaTheme="minorEastAsia"/>
          <w:sz w:val="20"/>
          <w:szCs w:val="20"/>
          <w:lang w:val="fr-FR" w:eastAsia="en-US"/>
        </w:rPr>
        <w:t>, aux serveurs de jeux ou aux réseaux de serveurs proxy ;</w:t>
      </w:r>
    </w:p>
    <w:p w14:paraId="5B6F5934" w14:textId="7A6747D2" w:rsidR="006A62D8" w:rsidRPr="00990FB6" w:rsidRDefault="006A62D8" w:rsidP="00D53415">
      <w:pPr>
        <w:pStyle w:val="ListParagraph"/>
        <w:numPr>
          <w:ilvl w:val="1"/>
          <w:numId w:val="3"/>
        </w:numPr>
        <w:spacing w:before="8" w:after="8"/>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implique</w:t>
      </w:r>
      <w:proofErr w:type="gramEnd"/>
      <w:r>
        <w:rPr>
          <w:rFonts w:eastAsiaTheme="minorEastAsia"/>
          <w:sz w:val="20"/>
          <w:szCs w:val="20"/>
          <w:lang w:val="fr-FR" w:eastAsia="en-US"/>
        </w:rPr>
        <w:t xml:space="preserve"> le </w:t>
      </w:r>
      <w:r>
        <w:rPr>
          <w:rFonts w:eastAsiaTheme="minorEastAsia"/>
          <w:i/>
          <w:iCs/>
          <w:sz w:val="20"/>
          <w:szCs w:val="20"/>
          <w:lang w:val="fr-FR" w:eastAsia="en-US"/>
        </w:rPr>
        <w:t>spamming</w:t>
      </w:r>
      <w:r>
        <w:rPr>
          <w:rFonts w:eastAsiaTheme="minorEastAsia"/>
          <w:sz w:val="20"/>
          <w:szCs w:val="20"/>
          <w:lang w:val="fr-FR" w:eastAsia="en-US"/>
        </w:rPr>
        <w:t xml:space="preserve"> ou l'envoi en masse de courriels non sollicités ou de messages commerciaux ou le maintien d'un relais SMTP ouvert ; et/ou</w:t>
      </w:r>
    </w:p>
    <w:p w14:paraId="3FBB1FBC" w14:textId="453BD49F" w:rsidR="00482B6E" w:rsidRPr="00990FB6" w:rsidRDefault="006A62D8" w:rsidP="00D53415">
      <w:pPr>
        <w:pStyle w:val="ListParagraph"/>
        <w:numPr>
          <w:ilvl w:val="1"/>
          <w:numId w:val="3"/>
        </w:numPr>
        <w:spacing w:before="8" w:after="8"/>
        <w:ind w:left="1134" w:hanging="425"/>
        <w:contextualSpacing w:val="0"/>
        <w:jc w:val="both"/>
        <w:rPr>
          <w:rFonts w:eastAsiaTheme="minorEastAsia"/>
          <w:sz w:val="20"/>
          <w:szCs w:val="20"/>
          <w:lang w:val="fr-FR" w:eastAsia="en-US"/>
        </w:rPr>
      </w:pPr>
      <w:proofErr w:type="gramStart"/>
      <w:r>
        <w:rPr>
          <w:rFonts w:eastAsiaTheme="minorEastAsia"/>
          <w:sz w:val="20"/>
          <w:szCs w:val="20"/>
          <w:lang w:val="fr-FR" w:eastAsia="en-US"/>
        </w:rPr>
        <w:t>pourrait</w:t>
      </w:r>
      <w:proofErr w:type="gramEnd"/>
      <w:r>
        <w:rPr>
          <w:rFonts w:eastAsiaTheme="minorEastAsia"/>
          <w:sz w:val="20"/>
          <w:szCs w:val="20"/>
          <w:lang w:val="fr-FR" w:eastAsia="en-US"/>
        </w:rPr>
        <w:t xml:space="preserve"> entraîner directement la mort, des blessures corporelles ou des dommages physiques graves ou des dommages environnementaux (par exemple des machines de maintien en vie) en raison de la défaillance du (des) Produit(s).</w:t>
      </w:r>
    </w:p>
    <w:p w14:paraId="159682F0" w14:textId="537EA078" w:rsidR="00B56C47" w:rsidRPr="00990FB6" w:rsidRDefault="000F4307" w:rsidP="00B9793A">
      <w:pPr>
        <w:pStyle w:val="HeadingnotinTOC"/>
        <w:numPr>
          <w:ilvl w:val="0"/>
          <w:numId w:val="32"/>
        </w:numPr>
        <w:rPr>
          <w:rFonts w:eastAsiaTheme="minorEastAsia"/>
          <w:b/>
          <w:bCs w:val="0"/>
          <w:sz w:val="28"/>
          <w:szCs w:val="28"/>
        </w:rPr>
      </w:pPr>
      <w:proofErr w:type="spellStart"/>
      <w:r>
        <w:rPr>
          <w:rFonts w:eastAsiaTheme="minorEastAsia"/>
          <w:b/>
          <w:bCs w:val="0"/>
          <w:sz w:val="28"/>
          <w:szCs w:val="28"/>
        </w:rPr>
        <w:t>Equipement</w:t>
      </w:r>
      <w:proofErr w:type="spellEnd"/>
      <w:r>
        <w:rPr>
          <w:rFonts w:eastAsiaTheme="minorEastAsia"/>
          <w:b/>
          <w:bCs w:val="0"/>
          <w:sz w:val="28"/>
          <w:szCs w:val="28"/>
        </w:rPr>
        <w:t xml:space="preserve"> </w:t>
      </w:r>
    </w:p>
    <w:p w14:paraId="5D8A3C23" w14:textId="1CCA70CF" w:rsidR="00A0715D" w:rsidRPr="00990FB6" w:rsidRDefault="00B56C47" w:rsidP="00B9793A">
      <w:pPr>
        <w:pStyle w:val="ListParagraph"/>
        <w:numPr>
          <w:ilvl w:val="1"/>
          <w:numId w:val="32"/>
        </w:numPr>
        <w:spacing w:beforeLines="40" w:before="96" w:afterLines="40" w:after="96"/>
        <w:contextualSpacing w:val="0"/>
        <w:jc w:val="both"/>
        <w:rPr>
          <w:sz w:val="20"/>
          <w:szCs w:val="20"/>
          <w:lang w:val="fr-FR"/>
        </w:rPr>
      </w:pPr>
      <w:r>
        <w:rPr>
          <w:sz w:val="20"/>
          <w:szCs w:val="20"/>
          <w:lang w:val="fr-FR"/>
        </w:rPr>
        <w:t xml:space="preserve">Le Client doit s'assurer que tout l'équipement qui est connecté au Réseau est compatible avec le Réseau et répond aux besoins du Client. Wireless Logic n'est pas responsable de l'installation et du fonctionnement de l'équipement du Client et/ou de l'équipement de l'Utilisateur Final. </w:t>
      </w:r>
    </w:p>
    <w:p w14:paraId="6869BB98" w14:textId="7F292143" w:rsidR="00A0715D" w:rsidRPr="00990FB6" w:rsidRDefault="00AE19C2" w:rsidP="00B9793A">
      <w:pPr>
        <w:pStyle w:val="ListParagraph"/>
        <w:numPr>
          <w:ilvl w:val="1"/>
          <w:numId w:val="32"/>
        </w:numPr>
        <w:spacing w:beforeLines="40" w:before="96" w:afterLines="40" w:after="96"/>
        <w:contextualSpacing w:val="0"/>
        <w:jc w:val="both"/>
        <w:rPr>
          <w:sz w:val="20"/>
          <w:szCs w:val="20"/>
          <w:lang w:val="fr-FR"/>
        </w:rPr>
      </w:pPr>
      <w:r>
        <w:rPr>
          <w:sz w:val="20"/>
          <w:szCs w:val="20"/>
          <w:lang w:val="fr-FR"/>
        </w:rPr>
        <w:t xml:space="preserve">Le Client ne doit pas utiliser d'équipement dont l'utilisation n'a pas été approuvée pour les Produits par Wireless Logic et le(s) Fournisseur(s) de Réseau concerné(s). Si le Client n'est pas certain que son équipement et/ou l'équipement de l'Utilisateur Final est conforme, il doit en informer Wireless Logic immédiatement.  </w:t>
      </w:r>
    </w:p>
    <w:p w14:paraId="13D052F9" w14:textId="30E0BA0A" w:rsidR="00606BBE" w:rsidRPr="00990FB6" w:rsidRDefault="00B56C47" w:rsidP="00B9793A">
      <w:pPr>
        <w:pStyle w:val="ListParagraph"/>
        <w:numPr>
          <w:ilvl w:val="1"/>
          <w:numId w:val="32"/>
        </w:numPr>
        <w:spacing w:beforeLines="40" w:before="96" w:afterLines="40" w:after="96"/>
        <w:contextualSpacing w:val="0"/>
        <w:jc w:val="both"/>
        <w:rPr>
          <w:sz w:val="20"/>
          <w:szCs w:val="20"/>
          <w:lang w:val="fr-FR"/>
        </w:rPr>
      </w:pPr>
      <w:r>
        <w:rPr>
          <w:sz w:val="20"/>
          <w:szCs w:val="20"/>
          <w:lang w:val="fr-FR"/>
        </w:rPr>
        <w:t xml:space="preserve">Le Client doit se conformer à toutes les exigences techniques et de sécurité et aux instructions (y compris en ce qui concerne les exigences réglementaires) émises par tout fournisseur de services de télécommunications qui fournit des services de connectivité sous-jacents utilisés par le Client. Wireless Logic se réserve le droit, à sa seule et entière discrétion, d'exiger du Client qu'il satisfasse Wireless Logic que tout équipement devant être </w:t>
      </w:r>
      <w:r>
        <w:rPr>
          <w:sz w:val="20"/>
          <w:szCs w:val="20"/>
          <w:lang w:val="fr-FR"/>
        </w:rPr>
        <w:lastRenderedPageBreak/>
        <w:t>utilisé en relation avec les Produits est adapté et approprié, et le Client s'engage envers Wireless Logic à se conformer aux tests et autres exigences de Wireless Logic à cet égard.</w:t>
      </w:r>
    </w:p>
    <w:p w14:paraId="098D69B2" w14:textId="7E798CB9" w:rsidR="00606BBE" w:rsidRPr="00990FB6" w:rsidRDefault="000F4307" w:rsidP="00B9793A">
      <w:pPr>
        <w:pStyle w:val="HeadingnotinTOC"/>
        <w:numPr>
          <w:ilvl w:val="0"/>
          <w:numId w:val="32"/>
        </w:numPr>
        <w:rPr>
          <w:rFonts w:eastAsiaTheme="minorEastAsia"/>
          <w:b/>
          <w:bCs w:val="0"/>
          <w:sz w:val="28"/>
          <w:szCs w:val="28"/>
        </w:rPr>
      </w:pPr>
      <w:bookmarkStart w:id="4" w:name="_Ref238648120"/>
      <w:bookmarkStart w:id="5" w:name="_Ref165421846"/>
      <w:proofErr w:type="spellStart"/>
      <w:r>
        <w:rPr>
          <w:rFonts w:eastAsiaTheme="minorEastAsia"/>
          <w:b/>
          <w:bCs w:val="0"/>
          <w:sz w:val="28"/>
          <w:szCs w:val="28"/>
        </w:rPr>
        <w:t>Passerelles</w:t>
      </w:r>
      <w:bookmarkEnd w:id="4"/>
      <w:proofErr w:type="spellEnd"/>
      <w:r>
        <w:rPr>
          <w:rFonts w:eastAsiaTheme="minorEastAsia"/>
          <w:b/>
          <w:bCs w:val="0"/>
          <w:sz w:val="28"/>
          <w:szCs w:val="28"/>
        </w:rPr>
        <w:t xml:space="preserve"> </w:t>
      </w:r>
      <w:bookmarkEnd w:id="5"/>
    </w:p>
    <w:p w14:paraId="7C854AC0" w14:textId="68358231" w:rsidR="0055278B" w:rsidRPr="00990FB6" w:rsidRDefault="001E082C" w:rsidP="1EC77DA0">
      <w:pPr>
        <w:pStyle w:val="ListParagraph"/>
        <w:spacing w:beforeLines="40" w:before="96" w:afterLines="40" w:after="96"/>
        <w:jc w:val="both"/>
        <w:rPr>
          <w:rFonts w:eastAsiaTheme="minorEastAsia"/>
          <w:sz w:val="20"/>
          <w:szCs w:val="20"/>
          <w:lang w:val="fr-FR" w:eastAsia="en-US"/>
        </w:rPr>
      </w:pPr>
      <w:r>
        <w:rPr>
          <w:rFonts w:eastAsiaTheme="minorEastAsia"/>
          <w:b/>
          <w:bCs/>
          <w:sz w:val="20"/>
          <w:szCs w:val="20"/>
          <w:lang w:val="fr-FR" w:eastAsia="en-US"/>
        </w:rPr>
        <w:t>« Passerelle GSM</w:t>
      </w:r>
      <w:r>
        <w:rPr>
          <w:rFonts w:eastAsiaTheme="minorEastAsia"/>
          <w:sz w:val="20"/>
          <w:szCs w:val="20"/>
          <w:lang w:val="fr-FR" w:eastAsia="en-US"/>
        </w:rPr>
        <w:t xml:space="preserve"> » : désigne tout équipement contenant une carte SIM qui permet le routage des appels d'un appareil fixe vers un appareil mobile en établissant un appel de mobile vers mobile. </w:t>
      </w:r>
    </w:p>
    <w:p w14:paraId="61E37055" w14:textId="593CF94A" w:rsidR="00EA5643" w:rsidRPr="00990FB6" w:rsidRDefault="00606BBE" w:rsidP="00B9793A">
      <w:pPr>
        <w:pStyle w:val="ListParagraph"/>
        <w:numPr>
          <w:ilvl w:val="1"/>
          <w:numId w:val="32"/>
        </w:numPr>
        <w:spacing w:beforeLines="40" w:before="96" w:afterLines="40" w:after="96"/>
        <w:contextualSpacing w:val="0"/>
        <w:jc w:val="both"/>
        <w:rPr>
          <w:sz w:val="20"/>
          <w:szCs w:val="20"/>
          <w:lang w:val="fr-FR"/>
        </w:rPr>
      </w:pPr>
      <w:r>
        <w:rPr>
          <w:sz w:val="20"/>
          <w:szCs w:val="20"/>
          <w:lang w:val="fr-FR"/>
        </w:rPr>
        <w:t xml:space="preserve">Le Client ne doit pas se connecter, ni permettre à une Entité du Client de connecter des Passerelles GSM aux Systèmes : (i) si cela est interdit par la loi (ce qui peut inclure la fourniture de services de communication électronique à un tiers) ; ou (ii) dans l’hypothèse où la loi l’autorise, sans l’autorisation écrite préalable de Wireless Logic, conformément à la politique de Wireless </w:t>
      </w:r>
      <w:r>
        <w:rPr>
          <w:rFonts w:eastAsiaTheme="minorEastAsia"/>
          <w:sz w:val="20"/>
          <w:szCs w:val="20"/>
          <w:lang w:val="fr-FR" w:eastAsia="en-US"/>
        </w:rPr>
        <w:t xml:space="preserve">Logic </w:t>
      </w:r>
      <w:r>
        <w:rPr>
          <w:sz w:val="20"/>
          <w:szCs w:val="20"/>
          <w:lang w:val="fr-FR"/>
        </w:rPr>
        <w:t xml:space="preserve">sur les Passerelles GSM, laquelle a été régulièrement communiquée au Client. </w:t>
      </w:r>
    </w:p>
    <w:p w14:paraId="57D8D041" w14:textId="4AF98D28" w:rsidR="00EA5643" w:rsidRPr="00990FB6" w:rsidRDefault="00606BBE" w:rsidP="1EC77DA0">
      <w:pPr>
        <w:pStyle w:val="ListParagraph"/>
        <w:numPr>
          <w:ilvl w:val="1"/>
          <w:numId w:val="32"/>
        </w:numPr>
        <w:spacing w:beforeLines="40" w:before="96" w:afterLines="40" w:after="96"/>
        <w:jc w:val="both"/>
        <w:rPr>
          <w:sz w:val="20"/>
          <w:szCs w:val="20"/>
          <w:lang w:val="fr-FR"/>
        </w:rPr>
      </w:pPr>
      <w:r>
        <w:rPr>
          <w:sz w:val="20"/>
          <w:szCs w:val="20"/>
          <w:lang w:val="fr-FR"/>
        </w:rPr>
        <w:t xml:space="preserve">Le Client s’engage à collaborer avec Wireless </w:t>
      </w:r>
      <w:r>
        <w:rPr>
          <w:rFonts w:eastAsiaTheme="minorEastAsia"/>
          <w:sz w:val="20"/>
          <w:szCs w:val="20"/>
          <w:lang w:val="fr-FR" w:eastAsia="en-US"/>
        </w:rPr>
        <w:t xml:space="preserve">Logic </w:t>
      </w:r>
      <w:r>
        <w:rPr>
          <w:sz w:val="20"/>
          <w:szCs w:val="20"/>
          <w:lang w:val="fr-FR"/>
        </w:rPr>
        <w:t xml:space="preserve">pour garantir que toutes les Passerelles GSM qui ont été autorisées par Wireless </w:t>
      </w:r>
      <w:r>
        <w:rPr>
          <w:rFonts w:eastAsiaTheme="minorEastAsia"/>
          <w:sz w:val="20"/>
          <w:szCs w:val="20"/>
          <w:lang w:val="fr-FR" w:eastAsia="en-US"/>
        </w:rPr>
        <w:t xml:space="preserve">Logic </w:t>
      </w:r>
      <w:r>
        <w:rPr>
          <w:sz w:val="20"/>
          <w:szCs w:val="20"/>
          <w:lang w:val="fr-FR"/>
        </w:rPr>
        <w:t xml:space="preserve">et qui sont connectées aux systèmes sont et demeurent conformes à la loi et aux politiques de Wireless </w:t>
      </w:r>
      <w:r>
        <w:rPr>
          <w:rFonts w:eastAsiaTheme="minorEastAsia"/>
          <w:sz w:val="20"/>
          <w:szCs w:val="20"/>
          <w:lang w:val="fr-FR" w:eastAsia="en-US"/>
        </w:rPr>
        <w:t>Logic</w:t>
      </w:r>
      <w:r>
        <w:rPr>
          <w:sz w:val="20"/>
          <w:szCs w:val="20"/>
          <w:lang w:val="fr-FR"/>
        </w:rPr>
        <w:t xml:space="preserve">.  </w:t>
      </w:r>
    </w:p>
    <w:p w14:paraId="4EC3D284" w14:textId="74112311" w:rsidR="00EA5643" w:rsidRPr="00990FB6" w:rsidRDefault="00606BBE" w:rsidP="00B9793A">
      <w:pPr>
        <w:pStyle w:val="ListParagraph"/>
        <w:numPr>
          <w:ilvl w:val="1"/>
          <w:numId w:val="32"/>
        </w:numPr>
        <w:spacing w:beforeLines="40" w:before="96" w:afterLines="40" w:after="96"/>
        <w:contextualSpacing w:val="0"/>
        <w:jc w:val="both"/>
        <w:rPr>
          <w:sz w:val="20"/>
          <w:szCs w:val="20"/>
          <w:lang w:val="fr-FR"/>
        </w:rPr>
      </w:pPr>
      <w:r>
        <w:rPr>
          <w:sz w:val="20"/>
          <w:szCs w:val="20"/>
          <w:lang w:val="fr-FR"/>
        </w:rPr>
        <w:t xml:space="preserve">Si le Client se rend compte que l'un de ses Utilisateurs Finaux ou des tiers ont établi, installé ou utilisent une Passerelle GSM de manière illégale, en violation du Contrat ou en violation des politiques de Wireless </w:t>
      </w:r>
      <w:r>
        <w:rPr>
          <w:rFonts w:eastAsiaTheme="minorEastAsia"/>
          <w:sz w:val="20"/>
          <w:szCs w:val="20"/>
          <w:lang w:val="fr-FR" w:eastAsia="en-US"/>
        </w:rPr>
        <w:t xml:space="preserve">Logic </w:t>
      </w:r>
      <w:r>
        <w:rPr>
          <w:sz w:val="20"/>
          <w:szCs w:val="20"/>
          <w:lang w:val="fr-FR"/>
        </w:rPr>
        <w:t xml:space="preserve">(telles qu'elles sont communiquées au client de temps à autre), le Client doit en informer immédiatement Wireless </w:t>
      </w:r>
      <w:r>
        <w:rPr>
          <w:rFonts w:eastAsiaTheme="minorEastAsia"/>
          <w:sz w:val="20"/>
          <w:szCs w:val="20"/>
          <w:lang w:val="fr-FR" w:eastAsia="en-US"/>
        </w:rPr>
        <w:t xml:space="preserve">Logic </w:t>
      </w:r>
      <w:r>
        <w:rPr>
          <w:sz w:val="20"/>
          <w:szCs w:val="20"/>
          <w:lang w:val="fr-FR"/>
        </w:rPr>
        <w:t xml:space="preserve">et doit, à la demande de Wireless </w:t>
      </w:r>
      <w:r>
        <w:rPr>
          <w:rFonts w:eastAsiaTheme="minorEastAsia"/>
          <w:sz w:val="20"/>
          <w:szCs w:val="20"/>
          <w:lang w:val="fr-FR" w:eastAsia="en-US"/>
        </w:rPr>
        <w:t>Logic</w:t>
      </w:r>
      <w:r>
        <w:rPr>
          <w:sz w:val="20"/>
          <w:szCs w:val="20"/>
          <w:lang w:val="fr-FR"/>
        </w:rPr>
        <w:t>, lui fournir tous les détails techniques de la Passerelle GSM et de son utilisation.</w:t>
      </w:r>
    </w:p>
    <w:p w14:paraId="54A62331" w14:textId="55A5EAF5" w:rsidR="00EA5643" w:rsidRPr="00AD297B" w:rsidRDefault="00606BBE" w:rsidP="00B9793A">
      <w:pPr>
        <w:pStyle w:val="ListParagraph"/>
        <w:numPr>
          <w:ilvl w:val="1"/>
          <w:numId w:val="32"/>
        </w:numPr>
        <w:spacing w:beforeLines="40" w:before="96" w:afterLines="40" w:after="96"/>
        <w:contextualSpacing w:val="0"/>
        <w:jc w:val="both"/>
        <w:rPr>
          <w:sz w:val="20"/>
          <w:szCs w:val="20"/>
          <w:lang w:val="fr-FR"/>
        </w:rPr>
      </w:pPr>
      <w:bookmarkStart w:id="6" w:name="_Ref165421879"/>
      <w:r w:rsidRPr="00AD297B">
        <w:rPr>
          <w:sz w:val="20"/>
          <w:szCs w:val="20"/>
          <w:lang w:val="fr-FR"/>
        </w:rPr>
        <w:t xml:space="preserve">Le Client devra se conformer aux instructions de Wireless </w:t>
      </w:r>
      <w:r w:rsidRPr="00AD297B">
        <w:rPr>
          <w:rFonts w:eastAsiaTheme="minorEastAsia"/>
          <w:sz w:val="20"/>
          <w:szCs w:val="20"/>
          <w:lang w:val="fr-FR" w:eastAsia="en-US"/>
        </w:rPr>
        <w:t xml:space="preserve">Logic </w:t>
      </w:r>
      <w:r w:rsidRPr="00AD297B">
        <w:rPr>
          <w:sz w:val="20"/>
          <w:szCs w:val="20"/>
          <w:lang w:val="fr-FR"/>
        </w:rPr>
        <w:t xml:space="preserve">afin de faciliter la déconnexion de toute Passerelle GSM qui contreviendrait aux dispositions de l’article </w:t>
      </w:r>
      <w:r w:rsidR="000367D5">
        <w:rPr>
          <w:sz w:val="20"/>
          <w:szCs w:val="20"/>
          <w:lang w:val="fr-FR"/>
        </w:rPr>
        <w:fldChar w:fldCharType="begin"/>
      </w:r>
      <w:r w:rsidR="000367D5">
        <w:rPr>
          <w:sz w:val="20"/>
          <w:szCs w:val="20"/>
          <w:lang w:val="fr-FR"/>
        </w:rPr>
        <w:instrText xml:space="preserve"> REF _Ref238648120 \r \h </w:instrText>
      </w:r>
      <w:r w:rsidR="000367D5">
        <w:rPr>
          <w:sz w:val="20"/>
          <w:szCs w:val="20"/>
          <w:lang w:val="fr-FR"/>
        </w:rPr>
      </w:r>
      <w:r w:rsidR="000367D5">
        <w:rPr>
          <w:sz w:val="20"/>
          <w:szCs w:val="20"/>
          <w:lang w:val="fr-FR"/>
        </w:rPr>
        <w:fldChar w:fldCharType="separate"/>
      </w:r>
      <w:r w:rsidR="000367D5">
        <w:rPr>
          <w:sz w:val="20"/>
          <w:szCs w:val="20"/>
          <w:lang w:val="fr-FR"/>
        </w:rPr>
        <w:t>7</w:t>
      </w:r>
      <w:r w:rsidR="000367D5">
        <w:rPr>
          <w:sz w:val="20"/>
          <w:szCs w:val="20"/>
          <w:lang w:val="fr-FR"/>
        </w:rPr>
        <w:fldChar w:fldCharType="end"/>
      </w:r>
      <w:r w:rsidRPr="00AD297B">
        <w:rPr>
          <w:sz w:val="20"/>
          <w:szCs w:val="20"/>
          <w:lang w:val="fr-FR"/>
        </w:rPr>
        <w:t xml:space="preserve">. Wireless </w:t>
      </w:r>
      <w:r w:rsidRPr="00AD297B">
        <w:rPr>
          <w:rFonts w:eastAsiaTheme="minorEastAsia"/>
          <w:sz w:val="20"/>
          <w:szCs w:val="20"/>
          <w:lang w:val="fr-FR" w:eastAsia="en-US"/>
        </w:rPr>
        <w:t xml:space="preserve">Logic </w:t>
      </w:r>
      <w:r w:rsidRPr="00AD297B">
        <w:rPr>
          <w:sz w:val="20"/>
          <w:szCs w:val="20"/>
          <w:lang w:val="fr-FR"/>
        </w:rPr>
        <w:t xml:space="preserve">peut exiger du Client qu'il rembourse à Wireless </w:t>
      </w:r>
      <w:r w:rsidRPr="00AD297B">
        <w:rPr>
          <w:rFonts w:eastAsiaTheme="minorEastAsia"/>
          <w:sz w:val="20"/>
          <w:szCs w:val="20"/>
          <w:lang w:val="fr-FR" w:eastAsia="en-US"/>
        </w:rPr>
        <w:t xml:space="preserve">Logic </w:t>
      </w:r>
      <w:r w:rsidRPr="00AD297B">
        <w:rPr>
          <w:sz w:val="20"/>
          <w:szCs w:val="20"/>
          <w:lang w:val="fr-FR"/>
        </w:rPr>
        <w:t>tous les paiements ou primes qui lui ont été versés en rapport avec les passerelles GSM qui sont interrompues en vertu des dispositions du présent paragraphe</w:t>
      </w:r>
      <w:r w:rsidR="00DF4655" w:rsidRPr="00AD297B">
        <w:rPr>
          <w:sz w:val="20"/>
          <w:szCs w:val="20"/>
          <w:lang w:val="fr-FR"/>
        </w:rPr>
        <w:t xml:space="preserve"> </w:t>
      </w:r>
      <w:r w:rsidRPr="00AD297B">
        <w:rPr>
          <w:sz w:val="20"/>
          <w:szCs w:val="20"/>
        </w:rPr>
        <w:fldChar w:fldCharType="begin"/>
      </w:r>
      <w:r w:rsidRPr="00AD297B">
        <w:rPr>
          <w:sz w:val="20"/>
          <w:szCs w:val="20"/>
          <w:lang w:val="fr-FR"/>
        </w:rPr>
        <w:instrText xml:space="preserve"> REF _Ref165421879 \r \h  \* MERGEFORMAT </w:instrText>
      </w:r>
      <w:r w:rsidRPr="00AD297B">
        <w:rPr>
          <w:sz w:val="20"/>
          <w:szCs w:val="20"/>
        </w:rPr>
      </w:r>
      <w:r w:rsidRPr="00AD297B">
        <w:rPr>
          <w:sz w:val="20"/>
          <w:szCs w:val="20"/>
        </w:rPr>
        <w:fldChar w:fldCharType="separate"/>
      </w:r>
      <w:r w:rsidR="00DF4655" w:rsidRPr="00AD297B">
        <w:rPr>
          <w:sz w:val="20"/>
          <w:szCs w:val="20"/>
          <w:lang w:val="fr-FR"/>
        </w:rPr>
        <w:t>7</w:t>
      </w:r>
      <w:r w:rsidRPr="00AD297B">
        <w:rPr>
          <w:sz w:val="20"/>
          <w:szCs w:val="20"/>
          <w:lang w:val="fr-FR"/>
        </w:rPr>
        <w:t>.4</w:t>
      </w:r>
      <w:r w:rsidRPr="00AD297B">
        <w:rPr>
          <w:sz w:val="20"/>
          <w:szCs w:val="20"/>
        </w:rPr>
        <w:fldChar w:fldCharType="end"/>
      </w:r>
      <w:bookmarkEnd w:id="6"/>
      <w:r w:rsidRPr="00AD297B">
        <w:rPr>
          <w:sz w:val="20"/>
          <w:szCs w:val="20"/>
          <w:lang w:val="fr-FR"/>
        </w:rPr>
        <w:t xml:space="preserve">. </w:t>
      </w:r>
    </w:p>
    <w:p w14:paraId="4F47245C" w14:textId="22EF75D9" w:rsidR="00606BBE" w:rsidRPr="00990FB6" w:rsidRDefault="00757A4B" w:rsidP="00B9793A">
      <w:pPr>
        <w:pStyle w:val="ListParagraph"/>
        <w:numPr>
          <w:ilvl w:val="1"/>
          <w:numId w:val="32"/>
        </w:numPr>
        <w:spacing w:beforeLines="40" w:before="96" w:afterLines="40" w:after="96"/>
        <w:contextualSpacing w:val="0"/>
        <w:jc w:val="both"/>
        <w:rPr>
          <w:sz w:val="20"/>
          <w:szCs w:val="20"/>
          <w:lang w:val="fr-FR"/>
        </w:rPr>
      </w:pPr>
      <w:r>
        <w:rPr>
          <w:sz w:val="20"/>
          <w:szCs w:val="20"/>
          <w:lang w:val="fr-FR"/>
        </w:rPr>
        <w:t xml:space="preserve">Wireless </w:t>
      </w:r>
      <w:r>
        <w:rPr>
          <w:rFonts w:eastAsiaTheme="minorEastAsia"/>
          <w:sz w:val="20"/>
          <w:szCs w:val="20"/>
          <w:lang w:val="fr-FR" w:eastAsia="en-US"/>
        </w:rPr>
        <w:t xml:space="preserve">Logic </w:t>
      </w:r>
      <w:r>
        <w:rPr>
          <w:sz w:val="20"/>
          <w:szCs w:val="20"/>
          <w:lang w:val="fr-FR"/>
        </w:rPr>
        <w:t>se réserve le droit de modifier les conditions contractuelles ou la politique commerciale relatives aux passerelles GSM sous réserve du respect d’un préavis d’</w:t>
      </w:r>
      <w:r>
        <w:rPr>
          <w:i/>
          <w:iCs/>
          <w:sz w:val="20"/>
          <w:szCs w:val="20"/>
          <w:lang w:val="fr-FR"/>
        </w:rPr>
        <w:t>a minima</w:t>
      </w:r>
      <w:r>
        <w:rPr>
          <w:sz w:val="20"/>
          <w:szCs w:val="20"/>
          <w:lang w:val="fr-FR"/>
        </w:rPr>
        <w:t xml:space="preserve"> vingt (20) jours ouvrables. </w:t>
      </w:r>
    </w:p>
    <w:p w14:paraId="07B81F13" w14:textId="3D8CD5AC" w:rsidR="002D30DA" w:rsidRPr="00990FB6" w:rsidRDefault="00606BBE" w:rsidP="00B9793A">
      <w:pPr>
        <w:pStyle w:val="HeadingnotinTOC"/>
        <w:numPr>
          <w:ilvl w:val="0"/>
          <w:numId w:val="32"/>
        </w:numPr>
        <w:rPr>
          <w:rFonts w:eastAsiaTheme="minorEastAsia"/>
          <w:b/>
          <w:bCs w:val="0"/>
          <w:sz w:val="28"/>
          <w:szCs w:val="28"/>
        </w:rPr>
      </w:pPr>
      <w:r>
        <w:rPr>
          <w:rFonts w:eastAsiaTheme="minorEastAsia"/>
          <w:b/>
          <w:bCs w:val="0"/>
          <w:sz w:val="28"/>
          <w:szCs w:val="28"/>
        </w:rPr>
        <w:t xml:space="preserve">VOIP </w:t>
      </w:r>
    </w:p>
    <w:p w14:paraId="0733BE97" w14:textId="38921FD0" w:rsidR="002D30DA" w:rsidRPr="00990FB6" w:rsidRDefault="00606BBE" w:rsidP="00913FEF">
      <w:pPr>
        <w:pStyle w:val="ListParagraph"/>
        <w:numPr>
          <w:ilvl w:val="1"/>
          <w:numId w:val="32"/>
        </w:numPr>
        <w:spacing w:beforeLines="40" w:before="96" w:afterLines="40" w:after="96"/>
        <w:contextualSpacing w:val="0"/>
        <w:jc w:val="both"/>
        <w:rPr>
          <w:sz w:val="20"/>
          <w:szCs w:val="20"/>
          <w:lang w:val="fr-FR"/>
        </w:rPr>
      </w:pPr>
      <w:r>
        <w:rPr>
          <w:sz w:val="20"/>
          <w:szCs w:val="20"/>
          <w:lang w:val="fr-FR"/>
        </w:rPr>
        <w:t>Le Client ne doit pas utiliser les SIM ou les Services SIM pour des appels téléphoniques par Internet (qui utilisent la technologie du protocole voix sur IP (VOIP)) à moins que Wireless Logic n'y consente par écrit. Toute utilisation non convenue du VOIP peut entraîner la résiliation de la connexion à la seule discrétion de Wireless Logic.</w:t>
      </w:r>
    </w:p>
    <w:p w14:paraId="2568C57C" w14:textId="0742B354" w:rsidR="002D30DA" w:rsidRPr="00990FB6" w:rsidRDefault="002D30DA" w:rsidP="0076497A">
      <w:pPr>
        <w:pStyle w:val="ListParagraph"/>
        <w:numPr>
          <w:ilvl w:val="1"/>
          <w:numId w:val="32"/>
        </w:numPr>
        <w:spacing w:beforeLines="40" w:before="96" w:afterLines="40" w:after="96"/>
        <w:contextualSpacing w:val="0"/>
        <w:jc w:val="both"/>
        <w:rPr>
          <w:rFonts w:eastAsiaTheme="minorEastAsia"/>
          <w:sz w:val="20"/>
          <w:szCs w:val="20"/>
          <w:lang w:val="fr-FR" w:eastAsia="en-US"/>
        </w:rPr>
      </w:pPr>
      <w:r>
        <w:rPr>
          <w:sz w:val="20"/>
          <w:szCs w:val="20"/>
          <w:lang w:val="fr-FR"/>
        </w:rPr>
        <w:t>Si Wireless Logic accepte l'utilisation de la VOIP, le Client doit se conformer à toutes les exigences pertinentes des dispositions légales et réglementaires applicables (y compris en ce qui concerne les appels d'urgence) et à toutes les autres exigences qui lui sont notifiées par écrit par Wireless Logic</w:t>
      </w:r>
      <w:r>
        <w:rPr>
          <w:rFonts w:eastAsiaTheme="minorEastAsia"/>
          <w:sz w:val="20"/>
          <w:szCs w:val="20"/>
          <w:lang w:val="fr-FR" w:eastAsia="en-US"/>
        </w:rPr>
        <w:t>.</w:t>
      </w:r>
    </w:p>
    <w:p w14:paraId="34375C6B" w14:textId="77777777" w:rsidR="00B81005" w:rsidRPr="00657020" w:rsidRDefault="00B81005" w:rsidP="002D30DA">
      <w:pPr>
        <w:spacing w:line="240" w:lineRule="auto"/>
        <w:rPr>
          <w:rFonts w:eastAsiaTheme="minorEastAsia"/>
          <w:lang w:val="fr-FR" w:eastAsia="en-US"/>
        </w:rPr>
      </w:pPr>
    </w:p>
    <w:p w14:paraId="1A4CA169" w14:textId="77777777" w:rsidR="00894F7B" w:rsidRPr="00AD297B" w:rsidRDefault="003F3832" w:rsidP="002F0155">
      <w:pPr>
        <w:pStyle w:val="HeadingSection"/>
        <w:spacing w:after="360"/>
        <w:rPr>
          <w:rFonts w:eastAsiaTheme="minorEastAsia"/>
          <w:lang w:val="fr-FR"/>
        </w:rPr>
      </w:pPr>
      <w:r w:rsidRPr="00AD297B">
        <w:rPr>
          <w:rFonts w:eastAsiaTheme="minorEastAsia"/>
          <w:lang w:val="fr-FR"/>
        </w:rPr>
        <w:lastRenderedPageBreak/>
        <w:t>Annexe 1 – Cas d'Utilisation</w:t>
      </w:r>
    </w:p>
    <w:p w14:paraId="08D8EB6D" w14:textId="77777777" w:rsidR="00894F7B" w:rsidRDefault="003F3832">
      <w:pPr>
        <w:spacing w:beforeLines="40" w:before="96" w:afterLines="40" w:after="96"/>
        <w:jc w:val="both"/>
        <w:rPr>
          <w:sz w:val="20"/>
          <w:szCs w:val="20"/>
          <w:lang w:val="fr-FR"/>
        </w:rPr>
      </w:pPr>
      <w:r>
        <w:rPr>
          <w:sz w:val="20"/>
          <w:szCs w:val="20"/>
          <w:lang w:val="fr-FR"/>
        </w:rPr>
        <w:t>Lorsque l'utilisation par le Client, ou par une Entité du Client ou un Utilisateur Final, des Produits relève de l'un des cas d'utilisation décrits ci-dessous, le Client doit notifier Wireless Logic par écrit avant que cette utilisation ne commence (ou, si elle est déjà en cours, dès que raisonnablement possible après en avoir eu connaissance) et doit se conformer aux obligations énoncées sous la rubrique concernée.</w:t>
      </w:r>
    </w:p>
    <w:p w14:paraId="04CC6382" w14:textId="77777777" w:rsidR="00894F7B" w:rsidRPr="00AD297B" w:rsidRDefault="003F3832" w:rsidP="002F0155">
      <w:pPr>
        <w:pStyle w:val="HeadingnotinTOC"/>
        <w:ind w:left="720" w:hanging="720"/>
        <w:rPr>
          <w:rFonts w:eastAsiaTheme="minorEastAsia"/>
          <w:b/>
          <w:bCs w:val="0"/>
          <w:sz w:val="28"/>
          <w:szCs w:val="28"/>
          <w:lang w:val="fr-FR"/>
        </w:rPr>
      </w:pPr>
      <w:r w:rsidRPr="00AD297B">
        <w:rPr>
          <w:rFonts w:eastAsiaTheme="minorEastAsia"/>
          <w:b/>
          <w:bCs w:val="0"/>
          <w:sz w:val="28"/>
          <w:szCs w:val="28"/>
          <w:lang w:val="fr-FR"/>
        </w:rPr>
        <w:t>1. Applications Militaires et de Défense</w:t>
      </w:r>
    </w:p>
    <w:p w14:paraId="30121A77" w14:textId="77777777" w:rsidR="00894F7B" w:rsidRDefault="003F3832">
      <w:pPr>
        <w:spacing w:beforeLines="40" w:before="96" w:afterLines="40" w:after="96"/>
        <w:jc w:val="both"/>
        <w:rPr>
          <w:sz w:val="20"/>
          <w:szCs w:val="20"/>
          <w:lang w:val="fr-FR"/>
        </w:rPr>
      </w:pPr>
      <w:r>
        <w:rPr>
          <w:sz w:val="20"/>
          <w:szCs w:val="20"/>
          <w:lang w:val="fr-FR"/>
        </w:rPr>
        <w:t>1.1 Le Client ne doit pas, et doit veiller à ce qu'aucune Entité du Client ni aucun Utilisateur Final n'utilise les Produits en lien avec une Utilisation Interdite telle que définie dans la Déclaration du Groupe Wireless Logic sur les Utilisations Interdites : Applications Militaires et de Défense, reproduite intégralement ci-dessous.</w:t>
      </w:r>
    </w:p>
    <w:p w14:paraId="418E0F76" w14:textId="77777777" w:rsidR="00894F7B" w:rsidRDefault="003F3832">
      <w:pPr>
        <w:spacing w:beforeLines="40" w:before="96" w:afterLines="40" w:after="96"/>
        <w:jc w:val="both"/>
        <w:rPr>
          <w:sz w:val="20"/>
          <w:szCs w:val="20"/>
          <w:lang w:val="fr-FR"/>
        </w:rPr>
      </w:pPr>
      <w:r>
        <w:rPr>
          <w:sz w:val="20"/>
          <w:szCs w:val="20"/>
          <w:lang w:val="fr-FR"/>
        </w:rPr>
        <w:t>1.2 Le Client doit notifier immédiatement Wireless Logic s'il a connaissance du fait que les Produits sont, ou pourraient être, utilisés ou sont envisagés pour être utilisés en lien avec une application militaire, de défense, de sécurité gouvernementale ou à double usage.</w:t>
      </w:r>
    </w:p>
    <w:p w14:paraId="01F3FF9B" w14:textId="77777777" w:rsidR="00894F7B" w:rsidRDefault="003F3832">
      <w:pPr>
        <w:spacing w:beforeLines="40" w:before="96" w:afterLines="40" w:after="96"/>
        <w:jc w:val="both"/>
        <w:rPr>
          <w:sz w:val="20"/>
          <w:szCs w:val="20"/>
          <w:lang w:val="fr-FR"/>
        </w:rPr>
      </w:pPr>
      <w:r>
        <w:rPr>
          <w:sz w:val="20"/>
          <w:szCs w:val="20"/>
          <w:lang w:val="fr-FR"/>
        </w:rPr>
        <w:t>1.3 Le Client doit fournir à Wireless Logic toute information que Wireless Logic peut raisonnablement exiger afin de vérifier le respect du présent paragraphe 1 et de la Déclaration ci-dessous, et doit coopérer de bonne foi à toute demande en ce sens.</w:t>
      </w:r>
    </w:p>
    <w:p w14:paraId="08A199B4" w14:textId="77777777" w:rsidR="00894F7B" w:rsidRPr="00581044" w:rsidRDefault="003F3832">
      <w:pPr>
        <w:spacing w:beforeLines="40" w:before="96" w:afterLines="40" w:after="96"/>
        <w:jc w:val="both"/>
        <w:rPr>
          <w:sz w:val="20"/>
          <w:szCs w:val="20"/>
          <w:u w:val="single"/>
          <w:lang w:val="fr-FR"/>
        </w:rPr>
      </w:pPr>
      <w:r w:rsidRPr="00581044">
        <w:rPr>
          <w:b/>
          <w:sz w:val="20"/>
          <w:szCs w:val="20"/>
          <w:u w:val="single"/>
          <w:lang w:val="fr-FR"/>
        </w:rPr>
        <w:t>Déclaration du Groupe Wireless Logic : Utilisation Interdite – Applications Militaires et de Défense</w:t>
      </w:r>
    </w:p>
    <w:p w14:paraId="3A92514E" w14:textId="77777777" w:rsidR="00894F7B" w:rsidRDefault="003F3832">
      <w:pPr>
        <w:spacing w:beforeLines="40" w:before="96" w:afterLines="40" w:after="96"/>
        <w:jc w:val="both"/>
        <w:rPr>
          <w:sz w:val="20"/>
          <w:szCs w:val="20"/>
          <w:lang w:val="fr-FR"/>
        </w:rPr>
      </w:pPr>
      <w:r>
        <w:rPr>
          <w:sz w:val="20"/>
          <w:szCs w:val="20"/>
          <w:lang w:val="fr-FR"/>
        </w:rPr>
        <w:t>Les sociétés du groupe Wireless Logic fournissent des services de connectivité de télécommunications, de temps d'antenne et d'utilisation de données à des cartes SIM et à certains matériels (notamment des routeurs) commandés par leurs clients professionnels (les « Services »).</w:t>
      </w:r>
    </w:p>
    <w:p w14:paraId="1A45EFAD" w14:textId="77777777" w:rsidR="00894F7B" w:rsidRDefault="003F3832">
      <w:pPr>
        <w:spacing w:beforeLines="40" w:before="96" w:afterLines="40" w:after="96"/>
        <w:jc w:val="both"/>
        <w:rPr>
          <w:sz w:val="20"/>
          <w:szCs w:val="20"/>
          <w:lang w:val="fr-FR"/>
        </w:rPr>
      </w:pPr>
      <w:r>
        <w:rPr>
          <w:sz w:val="20"/>
          <w:szCs w:val="20"/>
          <w:lang w:val="fr-FR"/>
        </w:rPr>
        <w:t xml:space="preserve">Les Services et la technologie fournis par les sociétés du groupe Wireless Logic sont conçus pour des usages civils, commerciaux et de </w:t>
      </w:r>
      <w:proofErr w:type="gramStart"/>
      <w:r>
        <w:rPr>
          <w:sz w:val="20"/>
          <w:szCs w:val="20"/>
          <w:lang w:val="fr-FR"/>
        </w:rPr>
        <w:t>recherche autorisés</w:t>
      </w:r>
      <w:proofErr w:type="gramEnd"/>
      <w:r>
        <w:rPr>
          <w:sz w:val="20"/>
          <w:szCs w:val="20"/>
          <w:lang w:val="fr-FR"/>
        </w:rPr>
        <w:t>.</w:t>
      </w:r>
    </w:p>
    <w:p w14:paraId="08087BF2" w14:textId="77777777" w:rsidR="00894F7B" w:rsidRDefault="003F3832">
      <w:pPr>
        <w:spacing w:beforeLines="40" w:before="96" w:afterLines="40" w:after="96"/>
        <w:jc w:val="both"/>
        <w:rPr>
          <w:sz w:val="20"/>
          <w:szCs w:val="20"/>
          <w:lang w:val="fr-FR"/>
        </w:rPr>
      </w:pPr>
      <w:r>
        <w:rPr>
          <w:b/>
          <w:sz w:val="20"/>
          <w:szCs w:val="20"/>
          <w:lang w:val="fr-FR"/>
        </w:rPr>
        <w:t>Interdiction Générale</w:t>
      </w:r>
    </w:p>
    <w:p w14:paraId="488799F4" w14:textId="77777777" w:rsidR="00894F7B" w:rsidRDefault="003F3832">
      <w:pPr>
        <w:spacing w:beforeLines="40" w:before="96" w:afterLines="40" w:after="96"/>
        <w:jc w:val="both"/>
        <w:rPr>
          <w:sz w:val="20"/>
          <w:szCs w:val="20"/>
          <w:lang w:val="fr-FR"/>
        </w:rPr>
      </w:pPr>
      <w:r>
        <w:rPr>
          <w:sz w:val="20"/>
          <w:szCs w:val="20"/>
          <w:lang w:val="fr-FR"/>
        </w:rPr>
        <w:t>Les Clients ne doivent pas, et doivent veiller à ce que leurs filiales, utilisateurs finaux et tout tiers agissant pour leur compte ne doivent pas, utiliser les Produits (y compris les cartes SIM, la connectivité, les plateformes ou toute infrastructure associée) en lien avec une Utilisation Interdite telle que définie dans la présente Déclaration.</w:t>
      </w:r>
    </w:p>
    <w:p w14:paraId="1529F179" w14:textId="77777777" w:rsidR="00894F7B" w:rsidRDefault="003F3832">
      <w:pPr>
        <w:spacing w:beforeLines="40" w:before="96" w:afterLines="40" w:after="96"/>
        <w:jc w:val="both"/>
        <w:rPr>
          <w:sz w:val="20"/>
          <w:szCs w:val="20"/>
          <w:lang w:val="fr-FR"/>
        </w:rPr>
      </w:pPr>
      <w:r>
        <w:rPr>
          <w:b/>
          <w:sz w:val="20"/>
          <w:szCs w:val="20"/>
          <w:lang w:val="fr-FR"/>
        </w:rPr>
        <w:t>Utilisation Militaire et de Défense</w:t>
      </w:r>
    </w:p>
    <w:p w14:paraId="05215B8B" w14:textId="77777777" w:rsidR="00894F7B" w:rsidRDefault="003F3832">
      <w:pPr>
        <w:spacing w:beforeLines="40" w:before="96" w:afterLines="40" w:after="96"/>
        <w:jc w:val="both"/>
        <w:rPr>
          <w:sz w:val="20"/>
          <w:szCs w:val="20"/>
          <w:lang w:val="fr-FR"/>
        </w:rPr>
      </w:pPr>
      <w:r>
        <w:rPr>
          <w:sz w:val="20"/>
          <w:szCs w:val="20"/>
          <w:lang w:val="fr-FR"/>
        </w:rPr>
        <w:t>Sans limitation, les Services ne doivent pas être utilisés pour :</w:t>
      </w:r>
    </w:p>
    <w:p w14:paraId="6BC199E4" w14:textId="77777777" w:rsidR="00894F7B" w:rsidRDefault="003F3832">
      <w:pPr>
        <w:spacing w:beforeLines="40" w:before="96" w:afterLines="40" w:after="96"/>
        <w:jc w:val="both"/>
        <w:rPr>
          <w:sz w:val="20"/>
          <w:szCs w:val="20"/>
          <w:lang w:val="fr-FR"/>
        </w:rPr>
      </w:pPr>
      <w:r>
        <w:rPr>
          <w:sz w:val="20"/>
          <w:szCs w:val="20"/>
          <w:lang w:val="fr-FR"/>
        </w:rPr>
        <w:t>a) le développement, les essais, la production, l'exploitation, la maintenance ou le soutien d'armes, de munitions ou de systèmes d'armes de quelque nature que ce soit ;</w:t>
      </w:r>
    </w:p>
    <w:p w14:paraId="7D39BB15" w14:textId="77777777" w:rsidR="00894F7B" w:rsidRDefault="003F3832">
      <w:pPr>
        <w:spacing w:beforeLines="40" w:before="96" w:afterLines="40" w:after="96"/>
        <w:jc w:val="both"/>
        <w:rPr>
          <w:sz w:val="20"/>
          <w:szCs w:val="20"/>
          <w:lang w:val="fr-FR"/>
        </w:rPr>
      </w:pPr>
      <w:r>
        <w:rPr>
          <w:sz w:val="20"/>
          <w:szCs w:val="20"/>
          <w:lang w:val="fr-FR"/>
        </w:rPr>
        <w:t>b) des systèmes militaires de commandement, de contrôle, de communications, de renseignement, de surveillance ou de reconnaissance (« C4ISR ») lorsque ces systèmes sont destinés à, ou déployés dans, des environnements de combat actifs ou opérationnels ;</w:t>
      </w:r>
    </w:p>
    <w:p w14:paraId="2ACB0D31" w14:textId="77777777" w:rsidR="00894F7B" w:rsidRDefault="003F3832">
      <w:pPr>
        <w:spacing w:beforeLines="40" w:before="96" w:afterLines="40" w:after="96"/>
        <w:jc w:val="both"/>
        <w:rPr>
          <w:sz w:val="20"/>
          <w:szCs w:val="20"/>
          <w:lang w:val="fr-FR"/>
        </w:rPr>
      </w:pPr>
      <w:r>
        <w:rPr>
          <w:sz w:val="20"/>
          <w:szCs w:val="20"/>
          <w:lang w:val="fr-FR"/>
        </w:rPr>
        <w:t>c) l'exploitation, la navigation, le ciblage ou le contrôle de véhicules, plateformes ou systèmes sans pilote ou autonomes conçus ou adaptés pour l'usage de la force ou un effet létal ; et/ou</w:t>
      </w:r>
    </w:p>
    <w:p w14:paraId="4AC5CE51" w14:textId="77777777" w:rsidR="00894F7B" w:rsidRDefault="003F3832">
      <w:pPr>
        <w:spacing w:beforeLines="40" w:before="96" w:afterLines="40" w:after="96"/>
        <w:jc w:val="both"/>
        <w:rPr>
          <w:sz w:val="20"/>
          <w:szCs w:val="20"/>
          <w:lang w:val="fr-FR"/>
        </w:rPr>
      </w:pPr>
      <w:r>
        <w:rPr>
          <w:sz w:val="20"/>
          <w:szCs w:val="20"/>
          <w:lang w:val="fr-FR"/>
        </w:rPr>
        <w:t>d) toute application soutenant directement des opérations de combat ou des activités militaires tactiques.</w:t>
      </w:r>
    </w:p>
    <w:p w14:paraId="2188D823" w14:textId="77777777" w:rsidR="00894F7B" w:rsidRDefault="003F3832">
      <w:pPr>
        <w:spacing w:beforeLines="40" w:before="96" w:afterLines="40" w:after="96"/>
        <w:jc w:val="both"/>
        <w:rPr>
          <w:sz w:val="20"/>
          <w:szCs w:val="20"/>
          <w:lang w:val="fr-FR"/>
        </w:rPr>
      </w:pPr>
      <w:r>
        <w:rPr>
          <w:b/>
          <w:sz w:val="20"/>
          <w:szCs w:val="20"/>
          <w:lang w:val="fr-FR"/>
        </w:rPr>
        <w:t>Applications Gouvernementales et à Double Usage</w:t>
      </w:r>
    </w:p>
    <w:p w14:paraId="19D880F9" w14:textId="77777777" w:rsidR="00894F7B" w:rsidRDefault="003F3832">
      <w:pPr>
        <w:spacing w:beforeLines="40" w:before="96" w:afterLines="40" w:after="96"/>
        <w:jc w:val="both"/>
        <w:rPr>
          <w:sz w:val="20"/>
          <w:szCs w:val="20"/>
          <w:lang w:val="fr-FR"/>
        </w:rPr>
      </w:pPr>
      <w:r>
        <w:rPr>
          <w:sz w:val="20"/>
          <w:szCs w:val="20"/>
          <w:lang w:val="fr-FR"/>
        </w:rPr>
        <w:t>L'utilisation des Services dans un contexte gouvernemental, de sécurité ou à double usage n'est autorisée que lorsque cette utilisation est strictement non liée au combat et ne relève pas des applications militaires interdites décrites dans la présente Déclaration.</w:t>
      </w:r>
    </w:p>
    <w:p w14:paraId="21D88429" w14:textId="77777777" w:rsidR="00894F7B" w:rsidRDefault="003F3832">
      <w:pPr>
        <w:spacing w:beforeLines="40" w:before="96" w:afterLines="40" w:after="96"/>
        <w:jc w:val="both"/>
        <w:rPr>
          <w:sz w:val="20"/>
          <w:szCs w:val="20"/>
          <w:lang w:val="fr-FR"/>
        </w:rPr>
      </w:pPr>
      <w:r>
        <w:rPr>
          <w:sz w:val="20"/>
          <w:szCs w:val="20"/>
          <w:lang w:val="fr-FR"/>
        </w:rPr>
        <w:lastRenderedPageBreak/>
        <w:t>Wireless Logic peut, sans engager sa responsabilité et avec effet immédiat, suspendre ou résilier la fourniture des Services lorsqu'elle estime raisonnablement que les Services sont utilisés en violation de la présente Déclaration ou que la poursuite de la fourniture des Services pourrait exposer Wireless Logic à un risque juridique, réglementaire ou de réputation.</w:t>
      </w:r>
    </w:p>
    <w:p w14:paraId="0A52D91D" w14:textId="77777777" w:rsidR="00894F7B" w:rsidRPr="00AD297B" w:rsidRDefault="003F3832" w:rsidP="002A03BE">
      <w:pPr>
        <w:pStyle w:val="HeadingnotinTOC"/>
        <w:ind w:left="720" w:hanging="720"/>
        <w:rPr>
          <w:rFonts w:eastAsiaTheme="minorEastAsia"/>
          <w:b/>
          <w:bCs w:val="0"/>
          <w:sz w:val="28"/>
          <w:szCs w:val="28"/>
          <w:lang w:val="fr-FR"/>
        </w:rPr>
      </w:pPr>
      <w:r w:rsidRPr="00AD297B">
        <w:rPr>
          <w:rFonts w:eastAsiaTheme="minorEastAsia"/>
          <w:b/>
          <w:bCs w:val="0"/>
          <w:sz w:val="28"/>
          <w:szCs w:val="28"/>
          <w:lang w:val="fr-FR"/>
        </w:rPr>
        <w:t>2. Infrastructures Critiques</w:t>
      </w:r>
    </w:p>
    <w:p w14:paraId="275FD433" w14:textId="77777777" w:rsidR="00894F7B" w:rsidRDefault="003F3832">
      <w:pPr>
        <w:spacing w:beforeLines="40" w:before="96" w:afterLines="40" w:after="96"/>
        <w:jc w:val="both"/>
        <w:rPr>
          <w:sz w:val="20"/>
          <w:szCs w:val="20"/>
          <w:lang w:val="fr-FR"/>
        </w:rPr>
      </w:pPr>
      <w:r>
        <w:rPr>
          <w:sz w:val="20"/>
          <w:szCs w:val="20"/>
          <w:lang w:val="fr-FR"/>
        </w:rPr>
        <w:t>2.1 Lorsque le cas d'utilisation du Client implique la fourniture de connectivité à des infrastructures nationales critiques (y compris, sans limitation, les transports publics, les services publics ou les systèmes de gestion du trafic), le Client doit notifier Wireless Logic par écrit avant que cette utilisation ne commence.</w:t>
      </w:r>
    </w:p>
    <w:p w14:paraId="225C77E1" w14:textId="77777777" w:rsidR="00894F7B" w:rsidRDefault="003F3832">
      <w:pPr>
        <w:spacing w:beforeLines="40" w:before="96" w:afterLines="40" w:after="96"/>
        <w:jc w:val="both"/>
        <w:rPr>
          <w:sz w:val="20"/>
          <w:szCs w:val="20"/>
          <w:lang w:val="fr-FR"/>
        </w:rPr>
      </w:pPr>
      <w:r>
        <w:rPr>
          <w:sz w:val="20"/>
          <w:szCs w:val="20"/>
          <w:lang w:val="fr-FR"/>
        </w:rPr>
        <w:t xml:space="preserve">2.2 Le Client doit informer Wireless Logic si lui-même, ou l'Entité du Client concernée, est soumis à la réglementation britannique Network and Information </w:t>
      </w:r>
      <w:proofErr w:type="spellStart"/>
      <w:r>
        <w:rPr>
          <w:sz w:val="20"/>
          <w:szCs w:val="20"/>
          <w:lang w:val="fr-FR"/>
        </w:rPr>
        <w:t>Systems</w:t>
      </w:r>
      <w:proofErr w:type="spellEnd"/>
      <w:r>
        <w:rPr>
          <w:sz w:val="20"/>
          <w:szCs w:val="20"/>
          <w:lang w:val="fr-FR"/>
        </w:rPr>
        <w:t xml:space="preserve"> </w:t>
      </w:r>
      <w:proofErr w:type="spellStart"/>
      <w:r>
        <w:rPr>
          <w:sz w:val="20"/>
          <w:szCs w:val="20"/>
          <w:lang w:val="fr-FR"/>
        </w:rPr>
        <w:t>Regulations</w:t>
      </w:r>
      <w:proofErr w:type="spellEnd"/>
      <w:r>
        <w:rPr>
          <w:sz w:val="20"/>
          <w:szCs w:val="20"/>
          <w:lang w:val="fr-FR"/>
        </w:rPr>
        <w:t xml:space="preserve"> 2018 (telle que modifiée) ou, le cas échéant, au règlement UE 2022/2555 (NIS2), et ne doit imposer aucune obligation connexe de cybersécurité, d'audit ou de notification d'incident à Wireless Logic, sauf accord contraire de Wireless Logic par écrit.</w:t>
      </w:r>
    </w:p>
    <w:p w14:paraId="506FB3ED" w14:textId="77777777" w:rsidR="00894F7B" w:rsidRDefault="003F3832">
      <w:pPr>
        <w:spacing w:beforeLines="40" w:before="96" w:afterLines="40" w:after="96"/>
        <w:jc w:val="both"/>
        <w:rPr>
          <w:sz w:val="20"/>
          <w:szCs w:val="20"/>
          <w:lang w:val="fr-FR"/>
        </w:rPr>
      </w:pPr>
      <w:r>
        <w:rPr>
          <w:sz w:val="20"/>
          <w:szCs w:val="20"/>
          <w:lang w:val="fr-FR"/>
        </w:rPr>
        <w:t>2.3 Le Client ne doit pas s'appuyer sur les Produits comme seul moyen de connectivité pour un système critique en matière de sécurité ou vital, sans l'accord écrit préalable de Wireless Logic quant aux niveaux de service applicables.</w:t>
      </w:r>
    </w:p>
    <w:p w14:paraId="685665FC" w14:textId="77777777" w:rsidR="00894F7B" w:rsidRPr="00AD297B" w:rsidRDefault="003F3832" w:rsidP="002A03BE">
      <w:pPr>
        <w:pStyle w:val="HeadingnotinTOC"/>
        <w:ind w:left="720" w:hanging="720"/>
        <w:rPr>
          <w:rFonts w:eastAsiaTheme="minorEastAsia"/>
          <w:b/>
          <w:bCs w:val="0"/>
          <w:sz w:val="28"/>
          <w:szCs w:val="28"/>
          <w:lang w:val="fr-FR"/>
        </w:rPr>
      </w:pPr>
      <w:r w:rsidRPr="00AD297B">
        <w:rPr>
          <w:rFonts w:eastAsiaTheme="minorEastAsia"/>
          <w:b/>
          <w:bCs w:val="0"/>
          <w:sz w:val="28"/>
          <w:szCs w:val="28"/>
          <w:lang w:val="fr-FR"/>
        </w:rPr>
        <w:t>3. Dispositifs Médicaux</w:t>
      </w:r>
    </w:p>
    <w:p w14:paraId="55935B0C" w14:textId="77777777" w:rsidR="00894F7B" w:rsidRDefault="003F3832">
      <w:pPr>
        <w:spacing w:beforeLines="40" w:before="96" w:afterLines="40" w:after="96"/>
        <w:jc w:val="both"/>
        <w:rPr>
          <w:sz w:val="20"/>
          <w:szCs w:val="20"/>
          <w:lang w:val="fr-FR"/>
        </w:rPr>
      </w:pPr>
      <w:r>
        <w:rPr>
          <w:sz w:val="20"/>
          <w:szCs w:val="20"/>
          <w:lang w:val="fr-FR"/>
        </w:rPr>
        <w:t>3.1 Le Client doit notifier Wireless Logic par écrit avant d'utiliser les Produits en lien avec un dispositif médical, y compris la surveillance à distance des patients, la télésanté ou les systèmes d'alarme clinique.</w:t>
      </w:r>
    </w:p>
    <w:p w14:paraId="1118C7C9" w14:textId="77777777" w:rsidR="00894F7B" w:rsidRDefault="003F3832">
      <w:pPr>
        <w:spacing w:beforeLines="40" w:before="96" w:afterLines="40" w:after="96"/>
        <w:jc w:val="both"/>
        <w:rPr>
          <w:sz w:val="20"/>
          <w:szCs w:val="20"/>
          <w:lang w:val="fr-FR"/>
        </w:rPr>
      </w:pPr>
      <w:r>
        <w:rPr>
          <w:sz w:val="20"/>
          <w:szCs w:val="20"/>
          <w:lang w:val="fr-FR"/>
        </w:rPr>
        <w:t>3.2 Le Client ne doit pas utiliser les Produits comme seul moyen de connectivité pour un dispositif dont la perte de connectivité pourrait mettre en danger la vie ou la sécurité d'un patient, sans l'accord écrit préalable de Wireless Logic.</w:t>
      </w:r>
    </w:p>
    <w:p w14:paraId="7EB5171F" w14:textId="77777777" w:rsidR="00894F7B" w:rsidRDefault="003F3832">
      <w:pPr>
        <w:spacing w:beforeLines="40" w:before="96" w:afterLines="40" w:after="96"/>
        <w:jc w:val="both"/>
        <w:rPr>
          <w:sz w:val="20"/>
          <w:szCs w:val="20"/>
          <w:lang w:val="fr-FR"/>
        </w:rPr>
      </w:pPr>
      <w:r>
        <w:rPr>
          <w:sz w:val="20"/>
          <w:szCs w:val="20"/>
          <w:lang w:val="fr-FR"/>
        </w:rPr>
        <w:t>3.3 Le Client doit fournir à Wireless Logic les précisions sur le cas d'utilisation envisagé que Wireless Logic peut raisonnablement demander.</w:t>
      </w:r>
    </w:p>
    <w:p w14:paraId="04450DCE" w14:textId="77777777" w:rsidR="00894F7B" w:rsidRPr="00AD297B" w:rsidRDefault="003F3832" w:rsidP="002A03BE">
      <w:pPr>
        <w:pStyle w:val="HeadingnotinTOC"/>
        <w:ind w:left="720" w:hanging="720"/>
        <w:rPr>
          <w:rFonts w:eastAsiaTheme="minorEastAsia"/>
          <w:b/>
          <w:bCs w:val="0"/>
          <w:sz w:val="28"/>
          <w:szCs w:val="28"/>
          <w:lang w:val="fr-FR"/>
        </w:rPr>
      </w:pPr>
      <w:r w:rsidRPr="00AD297B">
        <w:rPr>
          <w:rFonts w:eastAsiaTheme="minorEastAsia"/>
          <w:b/>
          <w:bCs w:val="0"/>
          <w:sz w:val="28"/>
          <w:szCs w:val="28"/>
          <w:lang w:val="fr-FR"/>
        </w:rPr>
        <w:t>4. Drones et Systèmes d'Aéronefs sans Pilote</w:t>
      </w:r>
    </w:p>
    <w:p w14:paraId="682F4FF5" w14:textId="77777777" w:rsidR="00894F7B" w:rsidRDefault="003F3832">
      <w:pPr>
        <w:spacing w:beforeLines="40" w:before="96" w:afterLines="40" w:after="96"/>
        <w:jc w:val="both"/>
        <w:rPr>
          <w:sz w:val="20"/>
          <w:szCs w:val="20"/>
          <w:lang w:val="fr-FR"/>
        </w:rPr>
      </w:pPr>
      <w:r>
        <w:rPr>
          <w:sz w:val="20"/>
          <w:szCs w:val="20"/>
          <w:lang w:val="fr-FR"/>
        </w:rPr>
        <w:t>4.1 Le Client doit notifier Wireless Logic par écrit avant d'utiliser les Produits en lien avec un drone ou un système d'aéronef sans pilote (« UAS »), qu'il soit exploité en vue directe (« VLOS ») ou hors vue directe (« BVLOS »).</w:t>
      </w:r>
    </w:p>
    <w:p w14:paraId="7A1B45B7" w14:textId="77777777" w:rsidR="00894F7B" w:rsidRDefault="003F3832">
      <w:pPr>
        <w:spacing w:beforeLines="40" w:before="96" w:afterLines="40" w:after="96"/>
        <w:jc w:val="both"/>
        <w:rPr>
          <w:sz w:val="20"/>
          <w:szCs w:val="20"/>
          <w:lang w:val="fr-FR"/>
        </w:rPr>
      </w:pPr>
      <w:r>
        <w:rPr>
          <w:sz w:val="20"/>
          <w:szCs w:val="20"/>
          <w:lang w:val="fr-FR"/>
        </w:rPr>
        <w:t>4.2 Lorsque le cas d'utilisation implique une exploitation BVLOS, le Client doit confirmer à Wireless Logic s'il détient, ou a demandé, une licence radio d'exploitant UAS Ofcom (ou l'autorisation équivalente dans le territoire concerné).</w:t>
      </w:r>
    </w:p>
    <w:p w14:paraId="034E63E9" w14:textId="77777777" w:rsidR="00894F7B" w:rsidRDefault="003F3832">
      <w:pPr>
        <w:spacing w:beforeLines="40" w:before="96" w:afterLines="40" w:after="96"/>
        <w:jc w:val="both"/>
        <w:rPr>
          <w:sz w:val="20"/>
          <w:szCs w:val="20"/>
          <w:lang w:val="fr-FR"/>
        </w:rPr>
      </w:pPr>
      <w:r>
        <w:rPr>
          <w:sz w:val="20"/>
          <w:szCs w:val="20"/>
          <w:lang w:val="fr-FR"/>
        </w:rPr>
        <w:t>4.3 Le Client reconnaît que Wireless Logic n'est pas propriétaire du réseau mobile sous-jacent et qu'une autorisation écrite du Fournisseur de Réseau concerné est requise avant que les Produits puissent être utilisés pour une connectivité aéroportée. Le Client ne doit pas utiliser, et ne doit permettre à aucune Entité du Client ou Utilisateur Final d'utiliser, les Produits à cette fin tant que Wireless Logic n'a pas confirmé par écrit que cette autorisation a été obtenue.</w:t>
      </w:r>
    </w:p>
    <w:p w14:paraId="715BA0CE" w14:textId="77777777" w:rsidR="00894F7B" w:rsidRDefault="003F3832">
      <w:pPr>
        <w:spacing w:beforeLines="40" w:before="96" w:afterLines="40" w:after="96"/>
        <w:jc w:val="both"/>
        <w:rPr>
          <w:sz w:val="20"/>
          <w:szCs w:val="20"/>
          <w:lang w:val="fr-FR"/>
        </w:rPr>
      </w:pPr>
      <w:r>
        <w:rPr>
          <w:sz w:val="20"/>
          <w:szCs w:val="20"/>
          <w:lang w:val="fr-FR"/>
        </w:rPr>
        <w:t>4.4 Le Client doit s'assurer qu'aucun équipement connecté aux Produits n'accède à la bande de fréquence 2500-2690 MHz (2,6 GHz) en vol.</w:t>
      </w:r>
    </w:p>
    <w:p w14:paraId="633503C2" w14:textId="77777777" w:rsidR="00894F7B" w:rsidRPr="00AD297B" w:rsidRDefault="003F3832" w:rsidP="002A03BE">
      <w:pPr>
        <w:pStyle w:val="HeadingnotinTOC"/>
        <w:ind w:left="720" w:hanging="720"/>
        <w:rPr>
          <w:rFonts w:eastAsiaTheme="minorEastAsia"/>
          <w:b/>
          <w:bCs w:val="0"/>
          <w:sz w:val="28"/>
          <w:szCs w:val="28"/>
          <w:lang w:val="fr-FR"/>
        </w:rPr>
      </w:pPr>
      <w:r w:rsidRPr="00AD297B">
        <w:rPr>
          <w:rFonts w:eastAsiaTheme="minorEastAsia"/>
          <w:b/>
          <w:bCs w:val="0"/>
          <w:sz w:val="28"/>
          <w:szCs w:val="28"/>
          <w:lang w:val="fr-FR"/>
        </w:rPr>
        <w:t>5. Véhicules sans Pilote et Robotique</w:t>
      </w:r>
    </w:p>
    <w:p w14:paraId="03DE233D" w14:textId="77777777" w:rsidR="00894F7B" w:rsidRDefault="003F3832">
      <w:pPr>
        <w:spacing w:beforeLines="40" w:before="96" w:afterLines="40" w:after="96"/>
        <w:jc w:val="both"/>
        <w:rPr>
          <w:sz w:val="20"/>
          <w:szCs w:val="20"/>
          <w:lang w:val="fr-FR"/>
        </w:rPr>
      </w:pPr>
      <w:r>
        <w:rPr>
          <w:sz w:val="20"/>
          <w:szCs w:val="20"/>
          <w:lang w:val="fr-FR"/>
        </w:rPr>
        <w:t>5.1 Le Client doit notifier Wireless Logic par écrit avant d'utiliser les Produits pour contrôler la navigation, ou toute autre fonction critique en matière de sécurité, d'un véhicule terrestre ou de surface autonome ou sans pilote, ou d'un équipement de robotique.</w:t>
      </w:r>
    </w:p>
    <w:p w14:paraId="7BFA9500" w14:textId="77777777" w:rsidR="00894F7B" w:rsidRDefault="003F3832">
      <w:pPr>
        <w:spacing w:beforeLines="40" w:before="96" w:afterLines="40" w:after="96"/>
        <w:jc w:val="both"/>
        <w:rPr>
          <w:sz w:val="20"/>
          <w:szCs w:val="20"/>
          <w:lang w:val="fr-FR"/>
        </w:rPr>
      </w:pPr>
      <w:r>
        <w:rPr>
          <w:sz w:val="20"/>
          <w:szCs w:val="20"/>
          <w:lang w:val="fr-FR"/>
        </w:rPr>
        <w:lastRenderedPageBreak/>
        <w:t>5.2 Le Client ne doit pas utiliser les Produits en lien avec un véhicule, un navire ou un système armé ou autrement adapté à un usage militaire (voir le paragraphe 1 ci-dessus).</w:t>
      </w:r>
    </w:p>
    <w:p w14:paraId="573329E5" w14:textId="77777777" w:rsidR="00894F7B" w:rsidRPr="00AD297B" w:rsidRDefault="003F3832" w:rsidP="002A03BE">
      <w:pPr>
        <w:pStyle w:val="HeadingnotinTOC"/>
        <w:ind w:left="720" w:hanging="720"/>
        <w:rPr>
          <w:rFonts w:eastAsiaTheme="minorEastAsia"/>
          <w:b/>
          <w:bCs w:val="0"/>
          <w:sz w:val="28"/>
          <w:szCs w:val="28"/>
          <w:lang w:val="fr-FR"/>
        </w:rPr>
      </w:pPr>
      <w:r w:rsidRPr="00AD297B">
        <w:rPr>
          <w:rFonts w:eastAsiaTheme="minorEastAsia"/>
          <w:b/>
          <w:bCs w:val="0"/>
          <w:sz w:val="28"/>
          <w:szCs w:val="28"/>
          <w:lang w:val="fr-FR"/>
        </w:rPr>
        <w:t>6. Maritime</w:t>
      </w:r>
    </w:p>
    <w:p w14:paraId="60DB0AA2" w14:textId="77777777" w:rsidR="00894F7B" w:rsidRDefault="003F3832">
      <w:pPr>
        <w:spacing w:beforeLines="40" w:before="96" w:afterLines="40" w:after="96"/>
        <w:jc w:val="both"/>
        <w:rPr>
          <w:sz w:val="20"/>
          <w:szCs w:val="20"/>
          <w:lang w:val="fr-FR"/>
        </w:rPr>
      </w:pPr>
      <w:r>
        <w:rPr>
          <w:sz w:val="20"/>
          <w:szCs w:val="20"/>
          <w:lang w:val="fr-FR"/>
        </w:rPr>
        <w:t>6.1 Le Client doit notifier Wireless Logic par écrit avant d'utiliser les Produits à bord, ou en lien avec, un navire.</w:t>
      </w:r>
    </w:p>
    <w:p w14:paraId="4E33DDE4" w14:textId="77777777" w:rsidR="00894F7B" w:rsidRDefault="003F3832">
      <w:pPr>
        <w:spacing w:beforeLines="40" w:before="96" w:afterLines="40" w:after="96"/>
        <w:jc w:val="both"/>
        <w:rPr>
          <w:sz w:val="20"/>
          <w:szCs w:val="20"/>
          <w:lang w:val="fr-FR"/>
        </w:rPr>
      </w:pPr>
      <w:r>
        <w:rPr>
          <w:sz w:val="20"/>
          <w:szCs w:val="20"/>
          <w:lang w:val="fr-FR"/>
        </w:rPr>
        <w:t>6.2 Le Client doit, sur demande, fournir des précisions sur la propriété et l'État du pavillon du navire concerné, et confirmer que ni le navire ni son propriétaire ou exploitant n'est une Personne Sanctionnée ni autrement soumis à un régime de sanctions applicable.</w:t>
      </w:r>
    </w:p>
    <w:p w14:paraId="081C3D29" w14:textId="77777777" w:rsidR="00894F7B" w:rsidRDefault="003F3832">
      <w:pPr>
        <w:spacing w:beforeLines="40" w:before="96" w:afterLines="40" w:after="96"/>
        <w:jc w:val="both"/>
        <w:rPr>
          <w:sz w:val="20"/>
          <w:szCs w:val="20"/>
          <w:lang w:val="fr-FR"/>
        </w:rPr>
      </w:pPr>
      <w:r>
        <w:rPr>
          <w:sz w:val="20"/>
          <w:szCs w:val="20"/>
          <w:lang w:val="fr-FR"/>
        </w:rPr>
        <w:t>6.3 Le Client ne doit pas s'appuyer sur les Produits comme seul moyen de navigation critique en matière de sécurité ou de communication de détresse (y compris dans le cadre du Système Mondial de Détresse et de Sécurité en Mer), sans l'accord écrit préalable de Wireless Logic.</w:t>
      </w:r>
    </w:p>
    <w:p w14:paraId="3E630AA9" w14:textId="77777777" w:rsidR="00894F7B" w:rsidRPr="00AD297B" w:rsidRDefault="003F3832" w:rsidP="0071665A">
      <w:pPr>
        <w:pStyle w:val="HeadingnotinTOC"/>
        <w:ind w:left="720" w:hanging="720"/>
        <w:rPr>
          <w:rFonts w:eastAsiaTheme="minorEastAsia"/>
          <w:b/>
          <w:bCs w:val="0"/>
          <w:sz w:val="28"/>
          <w:szCs w:val="28"/>
          <w:lang w:val="fr-FR"/>
        </w:rPr>
      </w:pPr>
      <w:r w:rsidRPr="00AD297B">
        <w:rPr>
          <w:rFonts w:eastAsiaTheme="minorEastAsia"/>
          <w:b/>
          <w:bCs w:val="0"/>
          <w:sz w:val="28"/>
          <w:szCs w:val="28"/>
          <w:lang w:val="fr-FR"/>
        </w:rPr>
        <w:t>7. Travailleur Isolé et Dispositifs de Sécurité Personnelle</w:t>
      </w:r>
    </w:p>
    <w:p w14:paraId="789CDB25" w14:textId="77777777" w:rsidR="00894F7B" w:rsidRDefault="003F3832">
      <w:pPr>
        <w:spacing w:beforeLines="40" w:before="96" w:afterLines="40" w:after="96"/>
        <w:jc w:val="both"/>
        <w:rPr>
          <w:sz w:val="20"/>
          <w:szCs w:val="20"/>
          <w:lang w:val="fr-FR"/>
        </w:rPr>
      </w:pPr>
      <w:r>
        <w:rPr>
          <w:sz w:val="20"/>
          <w:szCs w:val="20"/>
          <w:lang w:val="fr-FR"/>
        </w:rPr>
        <w:t>7.1 Le Client doit notifier Wireless Logic par écrit avant d'utiliser les Produits en lien avec une alarme pour travailleur isolé ou un dispositif de sécurité personnelle.</w:t>
      </w:r>
    </w:p>
    <w:p w14:paraId="34900DE8" w14:textId="77777777" w:rsidR="00894F7B" w:rsidRDefault="003F3832">
      <w:pPr>
        <w:spacing w:beforeLines="40" w:before="96" w:afterLines="40" w:after="96"/>
        <w:jc w:val="both"/>
        <w:rPr>
          <w:sz w:val="20"/>
          <w:szCs w:val="20"/>
          <w:lang w:val="fr-FR"/>
        </w:rPr>
      </w:pPr>
      <w:r>
        <w:rPr>
          <w:sz w:val="20"/>
          <w:szCs w:val="20"/>
          <w:lang w:val="fr-FR"/>
        </w:rPr>
        <w:t>7.2 Le Client doit démontrer à la satisfaction de Wireless Logic que des dispositifs de basculement ou de secours appropriés sont en place, de sorte qu'une perte de connectivité n'empêche pas le déclenchement d'un appel ou d'une alerte d'urgence.</w:t>
      </w:r>
    </w:p>
    <w:p w14:paraId="157253AD" w14:textId="77777777" w:rsidR="00894F7B" w:rsidRDefault="003F3832">
      <w:pPr>
        <w:spacing w:beforeLines="40" w:before="96" w:afterLines="40" w:after="96"/>
        <w:jc w:val="both"/>
        <w:rPr>
          <w:sz w:val="20"/>
          <w:szCs w:val="20"/>
          <w:lang w:val="fr-FR"/>
        </w:rPr>
      </w:pPr>
      <w:r>
        <w:rPr>
          <w:sz w:val="20"/>
          <w:szCs w:val="20"/>
          <w:lang w:val="fr-FR"/>
        </w:rPr>
        <w:t>7.3 Lorsque le Client utilise les Produits pour suivre la localisation d'un salarié ou d'un travailleur, le Client doit se conformer à la Réglementation sur les Données Personnelles et doit être en mesure de démontrer cette conformité à Wireless Logic sur demande.</w:t>
      </w:r>
    </w:p>
    <w:p w14:paraId="5E00D7E2" w14:textId="77777777" w:rsidR="00894F7B" w:rsidRPr="00AD297B" w:rsidRDefault="003F3832" w:rsidP="0071665A">
      <w:pPr>
        <w:pStyle w:val="HeadingnotinTOC"/>
        <w:ind w:left="720" w:hanging="720"/>
        <w:rPr>
          <w:rFonts w:eastAsiaTheme="minorEastAsia"/>
          <w:b/>
          <w:bCs w:val="0"/>
          <w:sz w:val="28"/>
          <w:szCs w:val="28"/>
          <w:lang w:val="fr-FR"/>
        </w:rPr>
      </w:pPr>
      <w:r w:rsidRPr="00AD297B">
        <w:rPr>
          <w:rFonts w:eastAsiaTheme="minorEastAsia"/>
          <w:b/>
          <w:bCs w:val="0"/>
          <w:sz w:val="28"/>
          <w:szCs w:val="28"/>
          <w:lang w:val="fr-FR"/>
        </w:rPr>
        <w:t>8. Centre de Données – Stockage des Données</w:t>
      </w:r>
    </w:p>
    <w:p w14:paraId="6166D03E" w14:textId="77777777" w:rsidR="00894F7B" w:rsidRDefault="003F3832">
      <w:pPr>
        <w:spacing w:beforeLines="40" w:before="96" w:afterLines="40" w:after="96"/>
        <w:jc w:val="both"/>
        <w:rPr>
          <w:sz w:val="20"/>
          <w:szCs w:val="20"/>
          <w:lang w:val="fr-FR"/>
        </w:rPr>
      </w:pPr>
      <w:r>
        <w:rPr>
          <w:sz w:val="20"/>
          <w:szCs w:val="20"/>
          <w:lang w:val="fr-FR"/>
        </w:rPr>
        <w:t>8.1 Le Client doit notifier Wireless Logic du ou des lieux dans lesquels toute donnée collectée ou transmise à l'aide des Produits sera stockée.</w:t>
      </w:r>
    </w:p>
    <w:p w14:paraId="404FBDE1" w14:textId="77777777" w:rsidR="00894F7B" w:rsidRDefault="003F3832">
      <w:pPr>
        <w:spacing w:beforeLines="40" w:before="96" w:afterLines="40" w:after="96"/>
        <w:jc w:val="both"/>
        <w:rPr>
          <w:sz w:val="20"/>
          <w:szCs w:val="20"/>
          <w:lang w:val="fr-FR"/>
        </w:rPr>
      </w:pPr>
      <w:r>
        <w:rPr>
          <w:sz w:val="20"/>
          <w:szCs w:val="20"/>
          <w:lang w:val="fr-FR"/>
        </w:rPr>
        <w:t>8.2 Lorsque ces données sont, ou pourraient être, transférées en dehors du Royaume-Uni ou de l'Espace Économique Européen, le Client doit s'assurer que les garanties requises par la Réglementation sur les Données Personnelles sont en place, et doit conclure un accord de traitement des données avec Wireless Logic lorsque Wireless Logic le demande raisonnablement.</w:t>
      </w:r>
    </w:p>
    <w:p w14:paraId="4E343508" w14:textId="77777777" w:rsidR="00894F7B" w:rsidRDefault="003F3832">
      <w:pPr>
        <w:spacing w:beforeLines="40" w:before="96" w:afterLines="40" w:after="96"/>
        <w:jc w:val="both"/>
        <w:rPr>
          <w:sz w:val="20"/>
          <w:szCs w:val="20"/>
          <w:lang w:val="fr-FR"/>
        </w:rPr>
      </w:pPr>
      <w:r>
        <w:rPr>
          <w:sz w:val="20"/>
          <w:szCs w:val="20"/>
          <w:lang w:val="fr-FR"/>
        </w:rPr>
        <w:t>8.3 Le Client doit notifier Wireless Logic si le centre de données ou la charge de travail hébergée concerné implique des locataires ou utilisateurs finaux gouvernementaux ou de défense.</w:t>
      </w:r>
    </w:p>
    <w:p w14:paraId="43E35B02" w14:textId="77777777" w:rsidR="00894F7B" w:rsidRPr="00AD297B" w:rsidRDefault="003F3832" w:rsidP="00595F5C">
      <w:pPr>
        <w:pStyle w:val="HeadingnotinTOC"/>
        <w:ind w:left="720" w:hanging="720"/>
        <w:rPr>
          <w:rFonts w:eastAsiaTheme="minorEastAsia"/>
          <w:b/>
          <w:bCs w:val="0"/>
          <w:sz w:val="28"/>
          <w:szCs w:val="28"/>
          <w:lang w:val="fr-FR"/>
        </w:rPr>
      </w:pPr>
      <w:r w:rsidRPr="00AD297B">
        <w:rPr>
          <w:rFonts w:eastAsiaTheme="minorEastAsia"/>
          <w:b/>
          <w:bCs w:val="0"/>
          <w:sz w:val="28"/>
          <w:szCs w:val="28"/>
          <w:lang w:val="fr-FR"/>
        </w:rPr>
        <w:t>9. Appels Vocaux et Services Fondés sur des Numéros</w:t>
      </w:r>
    </w:p>
    <w:p w14:paraId="6EE2D17C" w14:textId="25328C8C" w:rsidR="00894F7B" w:rsidRDefault="003F3832">
      <w:pPr>
        <w:spacing w:beforeLines="40" w:before="96" w:afterLines="40" w:after="96"/>
        <w:jc w:val="both"/>
        <w:rPr>
          <w:sz w:val="20"/>
          <w:szCs w:val="20"/>
          <w:lang w:val="fr-FR"/>
        </w:rPr>
      </w:pPr>
      <w:r>
        <w:rPr>
          <w:sz w:val="20"/>
          <w:szCs w:val="20"/>
          <w:lang w:val="fr-FR"/>
        </w:rPr>
        <w:t>9.1 Le Client doit se conformer</w:t>
      </w:r>
      <w:r w:rsidR="00595F5C">
        <w:rPr>
          <w:sz w:val="20"/>
          <w:szCs w:val="20"/>
          <w:lang w:val="fr-FR"/>
        </w:rPr>
        <w:t xml:space="preserve"> à l’</w:t>
      </w:r>
      <w:r w:rsidR="00595F5C" w:rsidRPr="00595F5C">
        <w:rPr>
          <w:sz w:val="20"/>
          <w:szCs w:val="20"/>
          <w:lang w:val="fr-FR"/>
        </w:rPr>
        <w:t xml:space="preserve">Annexe Règlementaire </w:t>
      </w:r>
      <w:r>
        <w:rPr>
          <w:sz w:val="20"/>
          <w:szCs w:val="20"/>
          <w:lang w:val="fr-FR"/>
        </w:rPr>
        <w:t>pour toute utilisation des Produits impliquant des services vocaux fondés sur des numéros, y compris en ce qui concerne l'Identification de la Ligne Appelante et l'accès aux organismes d'urgence.</w:t>
      </w:r>
    </w:p>
    <w:p w14:paraId="0E8B6C39" w14:textId="77777777" w:rsidR="00894F7B" w:rsidRDefault="003F3832">
      <w:pPr>
        <w:spacing w:beforeLines="40" w:before="96" w:afterLines="40" w:after="96"/>
        <w:jc w:val="both"/>
        <w:rPr>
          <w:sz w:val="20"/>
          <w:szCs w:val="20"/>
          <w:lang w:val="fr-FR"/>
        </w:rPr>
      </w:pPr>
      <w:r>
        <w:rPr>
          <w:sz w:val="20"/>
          <w:szCs w:val="20"/>
          <w:lang w:val="fr-FR"/>
        </w:rPr>
        <w:t>9.2 Le Client ne doit pas utiliser les Produits pour émettre, ou permettre sciemment l'émission, d'un appel avec une Identification de la Ligne Appelante invalide, modifiée ou usurpée.</w:t>
      </w:r>
    </w:p>
    <w:p w14:paraId="15C38905" w14:textId="77777777" w:rsidR="00894F7B" w:rsidRDefault="003F3832">
      <w:pPr>
        <w:spacing w:beforeLines="40" w:before="96" w:afterLines="40" w:after="96"/>
        <w:jc w:val="both"/>
        <w:rPr>
          <w:sz w:val="20"/>
          <w:szCs w:val="20"/>
          <w:lang w:val="fr-FR"/>
        </w:rPr>
      </w:pPr>
      <w:r>
        <w:rPr>
          <w:sz w:val="20"/>
          <w:szCs w:val="20"/>
          <w:lang w:val="fr-FR"/>
        </w:rPr>
        <w:t>9.3 Le Client doit notifier Wireless Logic à l'avance de son cas d'utilisation prévu et des volumes d'appels attendus pour tout service vocal fondé sur des numéros.</w:t>
      </w:r>
    </w:p>
    <w:p w14:paraId="096C5525" w14:textId="77777777" w:rsidR="00894F7B" w:rsidRPr="00AD297B" w:rsidRDefault="003F3832" w:rsidP="00595F5C">
      <w:pPr>
        <w:pStyle w:val="HeadingnotinTOC"/>
        <w:ind w:left="720" w:hanging="720"/>
        <w:rPr>
          <w:rFonts w:eastAsiaTheme="minorEastAsia"/>
          <w:b/>
          <w:bCs w:val="0"/>
          <w:sz w:val="28"/>
          <w:szCs w:val="28"/>
          <w:lang w:val="fr-FR"/>
        </w:rPr>
      </w:pPr>
      <w:r w:rsidRPr="00AD297B">
        <w:rPr>
          <w:rFonts w:eastAsiaTheme="minorEastAsia"/>
          <w:b/>
          <w:bCs w:val="0"/>
          <w:sz w:val="28"/>
          <w:szCs w:val="28"/>
          <w:lang w:val="fr-FR"/>
        </w:rPr>
        <w:t>10. Nouveaux Territoires et Sanctions</w:t>
      </w:r>
    </w:p>
    <w:p w14:paraId="1C0B1521" w14:textId="77777777" w:rsidR="00894F7B" w:rsidRDefault="003F3832">
      <w:pPr>
        <w:spacing w:beforeLines="40" w:before="96" w:afterLines="40" w:after="96"/>
        <w:jc w:val="both"/>
        <w:rPr>
          <w:sz w:val="20"/>
          <w:szCs w:val="20"/>
          <w:lang w:val="fr-FR"/>
        </w:rPr>
      </w:pPr>
      <w:r>
        <w:rPr>
          <w:sz w:val="20"/>
          <w:szCs w:val="20"/>
          <w:lang w:val="fr-FR"/>
        </w:rPr>
        <w:t>10.1 Le Client doit notifier Wireless Logic par écrit avant d'utiliser, ou de permettre à une Entité du Client ou à un Utilisateur Final d'utiliser, les Produits dans tout pays ou territoire non préalablement notifié à Wireless Logic et accepté par celle-ci.</w:t>
      </w:r>
    </w:p>
    <w:p w14:paraId="70365EAA" w14:textId="77777777" w:rsidR="00894F7B" w:rsidRDefault="003F3832">
      <w:pPr>
        <w:spacing w:beforeLines="40" w:before="96" w:afterLines="40" w:after="96"/>
        <w:jc w:val="both"/>
        <w:rPr>
          <w:sz w:val="20"/>
          <w:szCs w:val="20"/>
          <w:lang w:val="fr-FR"/>
        </w:rPr>
      </w:pPr>
      <w:r>
        <w:rPr>
          <w:sz w:val="20"/>
          <w:szCs w:val="20"/>
          <w:lang w:val="fr-FR"/>
        </w:rPr>
        <w:lastRenderedPageBreak/>
        <w:t>10.2 Le Client garantit que ni lui-même, ni aucune Entité du Client, aucun Utilisateur Final, ni aucune autre personne pour le compte de laquelle il agit, n'est une Personne Sanctionnée, ni n'est situé, organisé ou résident dans un Territoire Sanctionné.</w:t>
      </w:r>
    </w:p>
    <w:p w14:paraId="70DA8B21" w14:textId="77777777" w:rsidR="00894F7B" w:rsidRDefault="003F3832">
      <w:pPr>
        <w:spacing w:beforeLines="40" w:before="96" w:afterLines="40" w:after="96"/>
        <w:jc w:val="both"/>
        <w:rPr>
          <w:sz w:val="20"/>
          <w:szCs w:val="20"/>
          <w:lang w:val="fr-FR"/>
        </w:rPr>
      </w:pPr>
      <w:r>
        <w:rPr>
          <w:sz w:val="20"/>
          <w:szCs w:val="20"/>
          <w:lang w:val="fr-FR"/>
        </w:rPr>
        <w:t>10.3 Le Client doit coopérer pleinement à tout contrôle en matière de sanctions ou d'exportation raisonnablement demandé par Wireless Logic et doit fournir les informations que Wireless Logic exige raisonnablement à cette fin.</w:t>
      </w:r>
    </w:p>
    <w:p w14:paraId="0B185612" w14:textId="77777777" w:rsidR="00894F7B" w:rsidRPr="00AD297B" w:rsidRDefault="003F3832" w:rsidP="00595F5C">
      <w:pPr>
        <w:pStyle w:val="HeadingnotinTOC"/>
        <w:ind w:left="720" w:hanging="720"/>
        <w:rPr>
          <w:rFonts w:eastAsiaTheme="minorEastAsia"/>
          <w:b/>
          <w:bCs w:val="0"/>
          <w:sz w:val="28"/>
          <w:szCs w:val="28"/>
          <w:lang w:val="fr-FR"/>
        </w:rPr>
      </w:pPr>
      <w:r w:rsidRPr="00AD297B">
        <w:rPr>
          <w:rFonts w:eastAsiaTheme="minorEastAsia"/>
          <w:b/>
          <w:bCs w:val="0"/>
          <w:sz w:val="28"/>
          <w:szCs w:val="28"/>
          <w:lang w:val="fr-FR"/>
        </w:rPr>
        <w:t>11. Autres Cas d'Utilisation</w:t>
      </w:r>
    </w:p>
    <w:p w14:paraId="3FAAA55D" w14:textId="77777777" w:rsidR="00894F7B" w:rsidRDefault="003F3832">
      <w:pPr>
        <w:spacing w:beforeLines="40" w:before="96" w:afterLines="40" w:after="96"/>
        <w:jc w:val="both"/>
        <w:rPr>
          <w:sz w:val="20"/>
          <w:szCs w:val="20"/>
          <w:lang w:val="fr-FR"/>
        </w:rPr>
      </w:pPr>
      <w:r>
        <w:rPr>
          <w:sz w:val="20"/>
          <w:szCs w:val="20"/>
          <w:lang w:val="fr-FR"/>
        </w:rPr>
        <w:t xml:space="preserve">11.1 La présente Annexe 1 ne décrit pas tous les cas d'utilisation susceptibles de comporter un risque supplémentaire. Le Client doit notifier Wireless Logic par écrit avant d'utiliser les Produits pour </w:t>
      </w:r>
      <w:proofErr w:type="spellStart"/>
      <w:r>
        <w:rPr>
          <w:sz w:val="20"/>
          <w:szCs w:val="20"/>
          <w:lang w:val="fr-FR"/>
        </w:rPr>
        <w:t>tout</w:t>
      </w:r>
      <w:proofErr w:type="spellEnd"/>
      <w:r>
        <w:rPr>
          <w:sz w:val="20"/>
          <w:szCs w:val="20"/>
          <w:lang w:val="fr-FR"/>
        </w:rPr>
        <w:t xml:space="preserve"> cas d'utilisation non décrit ci-dessus dont le Client sait, ou devrait raisonnablement savoir, qu'il est critique en matière de sécurité, à haut risque, ou soumis à des exigences réglementaires spécifiques.</w:t>
      </w:r>
    </w:p>
    <w:p w14:paraId="1096BCCD" w14:textId="77777777" w:rsidR="00894F7B" w:rsidRDefault="003F3832">
      <w:pPr>
        <w:spacing w:beforeLines="40" w:before="96" w:afterLines="40" w:after="96"/>
        <w:jc w:val="both"/>
        <w:rPr>
          <w:sz w:val="20"/>
          <w:szCs w:val="20"/>
          <w:lang w:val="fr-FR"/>
        </w:rPr>
      </w:pPr>
      <w:r>
        <w:rPr>
          <w:sz w:val="20"/>
          <w:szCs w:val="20"/>
          <w:lang w:val="fr-FR"/>
        </w:rPr>
        <w:t>11.2 En cas de doute quant à savoir si un cas d'utilisation relève de la présente Annexe 1, le Client doit contacter Wireless Logic avant de poursuivre.</w:t>
      </w:r>
    </w:p>
    <w:sectPr w:rsidR="00894F7B" w:rsidSect="00D53415">
      <w:footerReference w:type="default" r:id="rId13"/>
      <w:headerReference w:type="first" r:id="rId14"/>
      <w:pgSz w:w="11906" w:h="16838" w:code="9"/>
      <w:pgMar w:top="1418" w:right="1701" w:bottom="993" w:left="1418" w:header="709"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CD013" w14:textId="77777777" w:rsidR="009D30BE" w:rsidRDefault="009D30BE" w:rsidP="00A850C7">
      <w:r>
        <w:separator/>
      </w:r>
    </w:p>
  </w:endnote>
  <w:endnote w:type="continuationSeparator" w:id="0">
    <w:p w14:paraId="5D5E8B37" w14:textId="77777777" w:rsidR="009D30BE" w:rsidRDefault="009D30BE" w:rsidP="00A850C7">
      <w:r>
        <w:continuationSeparator/>
      </w:r>
    </w:p>
  </w:endnote>
  <w:endnote w:type="continuationNotice" w:id="1">
    <w:p w14:paraId="68D9B141" w14:textId="77777777" w:rsidR="009D30BE" w:rsidRDefault="009D30B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Exo 2 Semi">
    <w:altName w:val="Calibri"/>
    <w:charset w:val="4D"/>
    <w:family w:val="auto"/>
    <w:pitch w:val="variable"/>
    <w:sig w:usb0="A00002FF" w:usb1="4000204B" w:usb2="00000000" w:usb3="00000000" w:csb0="00000197" w:csb1="00000000"/>
  </w:font>
  <w:font w:name="DengXian Light">
    <w:charset w:val="86"/>
    <w:family w:val="auto"/>
    <w:pitch w:val="variable"/>
    <w:sig w:usb0="A00002BF" w:usb1="38CF7CFA" w:usb2="00000016" w:usb3="00000000" w:csb0="0004000F" w:csb1="00000000"/>
  </w:font>
  <w:font w:name="Exo 2">
    <w:charset w:val="00"/>
    <w:family w:val="auto"/>
    <w:pitch w:val="variable"/>
    <w:sig w:usb0="A00002FF" w:usb1="4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ansation Light">
    <w:altName w:val="Calibri"/>
    <w:charset w:val="00"/>
    <w:family w:val="auto"/>
    <w:pitch w:val="variable"/>
    <w:sig w:usb0="00000003" w:usb1="00000000" w:usb2="00000000" w:usb3="00000000" w:csb0="00000001" w:csb1="00000000"/>
  </w:font>
  <w:font w:name="Sansation">
    <w:altName w:val="Calibri"/>
    <w:charset w:val="4D"/>
    <w:family w:val="auto"/>
    <w:pitch w:val="variable"/>
    <w:sig w:usb0="800000AF" w:usb1="1000604A"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FD9E4" w14:textId="77777777" w:rsidR="00AF3D3D" w:rsidRDefault="00AF3D3D" w:rsidP="00AF3D3D">
    <w:pPr>
      <w:pStyle w:val="Footer"/>
      <w:ind w:right="320"/>
      <w:rPr>
        <w:sz w:val="16"/>
        <w:szCs w:val="18"/>
      </w:rPr>
    </w:pPr>
  </w:p>
  <w:p w14:paraId="039C6C17" w14:textId="77777777" w:rsidR="00AF3D3D" w:rsidRDefault="00AF3D3D" w:rsidP="00AF3D3D">
    <w:pPr>
      <w:pStyle w:val="Footer"/>
      <w:ind w:right="320"/>
      <w:rPr>
        <w:sz w:val="16"/>
        <w:szCs w:val="18"/>
      </w:rPr>
    </w:pPr>
  </w:p>
  <w:p w14:paraId="09A2C6AA" w14:textId="7FCBBE36" w:rsidR="00AF3D3D" w:rsidRPr="00D53415" w:rsidRDefault="00AF3D3D" w:rsidP="00AF3D3D">
    <w:pPr>
      <w:pStyle w:val="Footer"/>
      <w:ind w:right="320"/>
      <w:rPr>
        <w:sz w:val="16"/>
        <w:szCs w:val="18"/>
        <w:lang w:val="fr-FR"/>
      </w:rPr>
    </w:pPr>
    <w:r w:rsidRPr="00D53415">
      <w:rPr>
        <w:sz w:val="16"/>
        <w:szCs w:val="18"/>
        <w:lang w:val="fr-FR"/>
      </w:rPr>
      <w:t xml:space="preserve">Wireless Logic </w:t>
    </w:r>
    <w:r w:rsidR="001E082C" w:rsidRPr="00D53415">
      <w:rPr>
        <w:sz w:val="16"/>
        <w:szCs w:val="18"/>
        <w:lang w:val="fr-FR"/>
      </w:rPr>
      <w:t>–</w:t>
    </w:r>
    <w:r w:rsidRPr="00D53415">
      <w:rPr>
        <w:sz w:val="16"/>
        <w:szCs w:val="18"/>
        <w:lang w:val="fr-FR"/>
      </w:rPr>
      <w:t xml:space="preserve"> </w:t>
    </w:r>
    <w:r w:rsidR="001E082C" w:rsidRPr="00D53415">
      <w:rPr>
        <w:sz w:val="16"/>
        <w:szCs w:val="18"/>
        <w:lang w:val="fr-FR"/>
      </w:rPr>
      <w:t>Conditions Génér</w:t>
    </w:r>
    <w:r w:rsidR="001E082C">
      <w:rPr>
        <w:sz w:val="16"/>
        <w:szCs w:val="18"/>
        <w:lang w:val="fr-FR"/>
      </w:rPr>
      <w:t>ales d’Utilisation</w:t>
    </w:r>
    <w:r w:rsidRPr="00D53415">
      <w:rPr>
        <w:sz w:val="16"/>
        <w:szCs w:val="18"/>
        <w:lang w:val="fr-FR"/>
      </w:rPr>
      <w:t xml:space="preserve"> - </w:t>
    </w:r>
    <w:proofErr w:type="gramStart"/>
    <w:r w:rsidRPr="00D53415">
      <w:rPr>
        <w:sz w:val="16"/>
        <w:szCs w:val="18"/>
        <w:lang w:val="fr-FR"/>
      </w:rPr>
      <w:t>v1.</w:t>
    </w:r>
    <w:r w:rsidR="000367D5">
      <w:rPr>
        <w:sz w:val="16"/>
        <w:szCs w:val="18"/>
        <w:lang w:val="fr-FR"/>
      </w:rPr>
      <w:t>2</w:t>
    </w:r>
    <w:r w:rsidRPr="00D53415">
      <w:rPr>
        <w:sz w:val="16"/>
        <w:szCs w:val="18"/>
        <w:lang w:val="fr-FR"/>
      </w:rPr>
      <w:t xml:space="preserve">  </w:t>
    </w:r>
    <w:r w:rsidRPr="00D53415">
      <w:rPr>
        <w:sz w:val="16"/>
        <w:szCs w:val="18"/>
        <w:lang w:val="fr-FR"/>
      </w:rPr>
      <w:tab/>
    </w:r>
    <w:proofErr w:type="gramEnd"/>
    <w:r w:rsidRPr="00D53415">
      <w:rPr>
        <w:sz w:val="16"/>
        <w:szCs w:val="18"/>
        <w:lang w:val="fr-FR"/>
      </w:rPr>
      <w:tab/>
    </w:r>
    <w:sdt>
      <w:sdtPr>
        <w:rPr>
          <w:sz w:val="16"/>
          <w:szCs w:val="18"/>
        </w:rPr>
        <w:id w:val="111638746"/>
        <w:docPartObj>
          <w:docPartGallery w:val="Page Numbers (Bottom of Page)"/>
          <w:docPartUnique/>
        </w:docPartObj>
      </w:sdtPr>
      <w:sdtEndPr>
        <w:rPr>
          <w:noProof/>
        </w:rPr>
      </w:sdtEndPr>
      <w:sdtContent/>
    </w:sdt>
  </w:p>
  <w:p w14:paraId="2F1873D4" w14:textId="77777777" w:rsidR="00AC00A0" w:rsidRPr="00D53415" w:rsidRDefault="00AC00A0">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ED47F" w14:textId="77777777" w:rsidR="009D30BE" w:rsidRDefault="009D30BE" w:rsidP="00A850C7">
      <w:r>
        <w:separator/>
      </w:r>
    </w:p>
  </w:footnote>
  <w:footnote w:type="continuationSeparator" w:id="0">
    <w:p w14:paraId="65056F16" w14:textId="77777777" w:rsidR="009D30BE" w:rsidRDefault="009D30BE" w:rsidP="00A850C7">
      <w:r>
        <w:continuationSeparator/>
      </w:r>
    </w:p>
  </w:footnote>
  <w:footnote w:type="continuationNotice" w:id="1">
    <w:p w14:paraId="0014B7A0" w14:textId="77777777" w:rsidR="009D30BE" w:rsidRDefault="009D30B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243F" w14:textId="177DFD06" w:rsidR="00F30AEA" w:rsidRPr="00F30AEA" w:rsidRDefault="00D623C9" w:rsidP="00F30AEA">
    <w:pPr>
      <w:pStyle w:val="Header"/>
    </w:pPr>
    <w:r w:rsidRPr="00B540BC">
      <w:rPr>
        <w:noProof/>
      </w:rPr>
      <w:drawing>
        <wp:inline distT="0" distB="0" distL="0" distR="0" wp14:anchorId="5760940A" wp14:editId="2F1C1AB3">
          <wp:extent cx="819150" cy="352425"/>
          <wp:effectExtent l="0" t="0" r="0" b="0"/>
          <wp:docPr id="1724004002" name="Picture 28431022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352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5817"/>
    <w:multiLevelType w:val="hybridMultilevel"/>
    <w:tmpl w:val="583A003E"/>
    <w:lvl w:ilvl="0" w:tplc="B2920C06">
      <w:start w:val="1"/>
      <w:numFmt w:val="bullet"/>
      <w:lvlText w:val=""/>
      <w:lvlJc w:val="left"/>
      <w:pPr>
        <w:ind w:left="1080" w:hanging="360"/>
      </w:pPr>
      <w:rPr>
        <w:rFonts w:ascii="Symbol" w:hAnsi="Symbol"/>
      </w:rPr>
    </w:lvl>
    <w:lvl w:ilvl="1" w:tplc="96384E90">
      <w:start w:val="1"/>
      <w:numFmt w:val="bullet"/>
      <w:lvlText w:val=""/>
      <w:lvlJc w:val="left"/>
      <w:pPr>
        <w:ind w:left="1080" w:hanging="360"/>
      </w:pPr>
      <w:rPr>
        <w:rFonts w:ascii="Symbol" w:hAnsi="Symbol"/>
      </w:rPr>
    </w:lvl>
    <w:lvl w:ilvl="2" w:tplc="6406CFF8">
      <w:start w:val="1"/>
      <w:numFmt w:val="bullet"/>
      <w:lvlText w:val=""/>
      <w:lvlJc w:val="left"/>
      <w:pPr>
        <w:ind w:left="1080" w:hanging="360"/>
      </w:pPr>
      <w:rPr>
        <w:rFonts w:ascii="Symbol" w:hAnsi="Symbol"/>
      </w:rPr>
    </w:lvl>
    <w:lvl w:ilvl="3" w:tplc="DBD4CC56">
      <w:start w:val="1"/>
      <w:numFmt w:val="bullet"/>
      <w:lvlText w:val=""/>
      <w:lvlJc w:val="left"/>
      <w:pPr>
        <w:ind w:left="1080" w:hanging="360"/>
      </w:pPr>
      <w:rPr>
        <w:rFonts w:ascii="Symbol" w:hAnsi="Symbol"/>
      </w:rPr>
    </w:lvl>
    <w:lvl w:ilvl="4" w:tplc="ABD80314">
      <w:start w:val="1"/>
      <w:numFmt w:val="bullet"/>
      <w:lvlText w:val=""/>
      <w:lvlJc w:val="left"/>
      <w:pPr>
        <w:ind w:left="1080" w:hanging="360"/>
      </w:pPr>
      <w:rPr>
        <w:rFonts w:ascii="Symbol" w:hAnsi="Symbol"/>
      </w:rPr>
    </w:lvl>
    <w:lvl w:ilvl="5" w:tplc="6D26AACA">
      <w:start w:val="1"/>
      <w:numFmt w:val="bullet"/>
      <w:lvlText w:val=""/>
      <w:lvlJc w:val="left"/>
      <w:pPr>
        <w:ind w:left="1080" w:hanging="360"/>
      </w:pPr>
      <w:rPr>
        <w:rFonts w:ascii="Symbol" w:hAnsi="Symbol"/>
      </w:rPr>
    </w:lvl>
    <w:lvl w:ilvl="6" w:tplc="BB9E4FE0">
      <w:start w:val="1"/>
      <w:numFmt w:val="bullet"/>
      <w:lvlText w:val=""/>
      <w:lvlJc w:val="left"/>
      <w:pPr>
        <w:ind w:left="1080" w:hanging="360"/>
      </w:pPr>
      <w:rPr>
        <w:rFonts w:ascii="Symbol" w:hAnsi="Symbol"/>
      </w:rPr>
    </w:lvl>
    <w:lvl w:ilvl="7" w:tplc="9EC449D4">
      <w:start w:val="1"/>
      <w:numFmt w:val="bullet"/>
      <w:lvlText w:val=""/>
      <w:lvlJc w:val="left"/>
      <w:pPr>
        <w:ind w:left="1080" w:hanging="360"/>
      </w:pPr>
      <w:rPr>
        <w:rFonts w:ascii="Symbol" w:hAnsi="Symbol"/>
      </w:rPr>
    </w:lvl>
    <w:lvl w:ilvl="8" w:tplc="DDF224B0">
      <w:start w:val="1"/>
      <w:numFmt w:val="bullet"/>
      <w:lvlText w:val=""/>
      <w:lvlJc w:val="left"/>
      <w:pPr>
        <w:ind w:left="1080" w:hanging="360"/>
      </w:pPr>
      <w:rPr>
        <w:rFonts w:ascii="Symbol" w:hAnsi="Symbol"/>
      </w:rPr>
    </w:lvl>
  </w:abstractNum>
  <w:abstractNum w:abstractNumId="1" w15:restartNumberingAfterBreak="0">
    <w:nsid w:val="07590B03"/>
    <w:multiLevelType w:val="multilevel"/>
    <w:tmpl w:val="44FCF9A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lowerRoman"/>
      <w:lvlText w:val="(%3)"/>
      <w:lvlJc w:val="left"/>
      <w:pPr>
        <w:ind w:left="360" w:hanging="36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040F24"/>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CB77A8"/>
    <w:multiLevelType w:val="hybridMultilevel"/>
    <w:tmpl w:val="5A62DC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B45563"/>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C60E23"/>
    <w:multiLevelType w:val="multilevel"/>
    <w:tmpl w:val="D0E8FE70"/>
    <w:lvl w:ilvl="0">
      <w:start w:val="1"/>
      <w:numFmt w:val="decimal"/>
      <w:lvlText w:val="%1"/>
      <w:lvlJc w:val="left"/>
      <w:pPr>
        <w:ind w:left="720" w:hanging="720"/>
      </w:pPr>
      <w:rPr>
        <w:rFonts w:hint="default"/>
        <w:b/>
        <w:bCs w:val="0"/>
      </w:rPr>
    </w:lvl>
    <w:lvl w:ilvl="1">
      <w:start w:val="1"/>
      <w:numFmt w:val="lowerLetter"/>
      <w:lvlText w:val="(%2)"/>
      <w:lvlJc w:val="left"/>
      <w:pPr>
        <w:ind w:left="72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5656C6"/>
    <w:multiLevelType w:val="multilevel"/>
    <w:tmpl w:val="412A5C92"/>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color w:val="auto"/>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C741FD"/>
    <w:multiLevelType w:val="multilevel"/>
    <w:tmpl w:val="8CA06B1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i w:val="0"/>
        <w:iCs w:val="0"/>
        <w:color w:val="595959" w:themeColor="text1" w:themeTint="A6"/>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3D7E9D"/>
    <w:multiLevelType w:val="hybridMultilevel"/>
    <w:tmpl w:val="4F04D4E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5E45A1"/>
    <w:multiLevelType w:val="hybridMultilevel"/>
    <w:tmpl w:val="EB4080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69B7FC0"/>
    <w:multiLevelType w:val="multilevel"/>
    <w:tmpl w:val="D676E454"/>
    <w:lvl w:ilvl="0">
      <w:start w:val="1"/>
      <w:numFmt w:val="bullet"/>
      <w:lvlText w:val=""/>
      <w:lvlJc w:val="left"/>
      <w:pPr>
        <w:ind w:left="1440" w:hanging="720"/>
      </w:pPr>
      <w:rPr>
        <w:rFonts w:ascii="Symbol" w:hAnsi="Symbol" w:hint="default"/>
        <w:b/>
        <w:bCs w:val="0"/>
      </w:rPr>
    </w:lvl>
    <w:lvl w:ilvl="1">
      <w:start w:val="1"/>
      <w:numFmt w:val="decimal"/>
      <w:lvlText w:val="%1.%2"/>
      <w:lvlJc w:val="left"/>
      <w:pPr>
        <w:ind w:left="144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11" w15:restartNumberingAfterBreak="0">
    <w:nsid w:val="16FD1CEB"/>
    <w:multiLevelType w:val="hybridMultilevel"/>
    <w:tmpl w:val="1AA0CEA4"/>
    <w:lvl w:ilvl="0" w:tplc="DF265C9C">
      <w:start w:val="1"/>
      <w:numFmt w:val="lowerRoman"/>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19323CE2"/>
    <w:multiLevelType w:val="multilevel"/>
    <w:tmpl w:val="3D683312"/>
    <w:lvl w:ilvl="0">
      <w:start w:val="1"/>
      <w:numFmt w:val="decimal"/>
      <w:lvlText w:val="%1"/>
      <w:lvlJc w:val="left"/>
      <w:pPr>
        <w:ind w:left="720" w:hanging="720"/>
      </w:pPr>
      <w:rPr>
        <w:rFonts w:hint="default"/>
        <w:b/>
        <w:bCs w:val="0"/>
      </w:rPr>
    </w:lvl>
    <w:lvl w:ilvl="1">
      <w:start w:val="1"/>
      <w:numFmt w:val="lowerLetter"/>
      <w:lvlText w:val="(%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2A4DC6"/>
    <w:multiLevelType w:val="hybridMultilevel"/>
    <w:tmpl w:val="F2BCB04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C230F37"/>
    <w:multiLevelType w:val="hybridMultilevel"/>
    <w:tmpl w:val="B8DA019A"/>
    <w:lvl w:ilvl="0" w:tplc="DF265C9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DBB4771"/>
    <w:multiLevelType w:val="hybridMultilevel"/>
    <w:tmpl w:val="E8862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5A427B"/>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5FD07A6"/>
    <w:multiLevelType w:val="hybridMultilevel"/>
    <w:tmpl w:val="68FE6FD2"/>
    <w:lvl w:ilvl="0" w:tplc="4C9A4296">
      <w:start w:val="1"/>
      <w:numFmt w:val="decimal"/>
      <w:lvlText w:val="%1."/>
      <w:lvlJc w:val="left"/>
      <w:pPr>
        <w:ind w:left="720" w:hanging="360"/>
      </w:pPr>
      <w:rPr>
        <w:sz w:val="20"/>
        <w:szCs w:val="2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2A1C2287"/>
    <w:multiLevelType w:val="hybridMultilevel"/>
    <w:tmpl w:val="7E169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17325A"/>
    <w:multiLevelType w:val="hybridMultilevel"/>
    <w:tmpl w:val="D6B45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263C07"/>
    <w:multiLevelType w:val="hybridMultilevel"/>
    <w:tmpl w:val="2E0A8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F64413"/>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4AD1D6C"/>
    <w:multiLevelType w:val="hybridMultilevel"/>
    <w:tmpl w:val="F2BCB04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B3B0534"/>
    <w:multiLevelType w:val="hybridMultilevel"/>
    <w:tmpl w:val="F2BCB04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2B1C19"/>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5F3D08"/>
    <w:multiLevelType w:val="multilevel"/>
    <w:tmpl w:val="44FCF9A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lowerRoman"/>
      <w:lvlText w:val="(%3)"/>
      <w:lvlJc w:val="left"/>
      <w:pPr>
        <w:ind w:left="360" w:hanging="36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57B39AC"/>
    <w:multiLevelType w:val="hybridMultilevel"/>
    <w:tmpl w:val="70A87AC2"/>
    <w:lvl w:ilvl="0" w:tplc="DF265C9C">
      <w:start w:val="1"/>
      <w:numFmt w:val="lowerRoman"/>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635296"/>
    <w:multiLevelType w:val="multilevel"/>
    <w:tmpl w:val="34D41D92"/>
    <w:styleLink w:val="WL-Bullets"/>
    <w:lvl w:ilvl="0">
      <w:start w:val="1"/>
      <w:numFmt w:val="bullet"/>
      <w:pStyle w:val="BullettedList"/>
      <w:lvlText w:val=""/>
      <w:lvlJc w:val="left"/>
      <w:pPr>
        <w:tabs>
          <w:tab w:val="num" w:pos="397"/>
        </w:tabs>
        <w:ind w:left="397" w:hanging="340"/>
      </w:pPr>
      <w:rPr>
        <w:rFonts w:ascii="Wingdings" w:hAnsi="Wingdings" w:hint="default"/>
        <w:color w:val="2C5FC6"/>
      </w:rPr>
    </w:lvl>
    <w:lvl w:ilvl="1">
      <w:start w:val="1"/>
      <w:numFmt w:val="bullet"/>
      <w:pStyle w:val="BulletedList2"/>
      <w:lvlText w:val=""/>
      <w:lvlJc w:val="left"/>
      <w:pPr>
        <w:tabs>
          <w:tab w:val="num" w:pos="737"/>
        </w:tabs>
        <w:ind w:left="737" w:hanging="312"/>
      </w:pPr>
      <w:rPr>
        <w:rFonts w:ascii="Wingdings" w:hAnsi="Wingdings" w:hint="default"/>
        <w:color w:val="2C5FC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CD463E"/>
    <w:multiLevelType w:val="multilevel"/>
    <w:tmpl w:val="D8886DD8"/>
    <w:lvl w:ilvl="0">
      <w:start w:val="1"/>
      <w:numFmt w:val="lowerRoman"/>
      <w:lvlText w:val="(%1)"/>
      <w:lvlJc w:val="left"/>
      <w:pPr>
        <w:ind w:left="1440" w:hanging="720"/>
      </w:pPr>
      <w:rPr>
        <w:rFonts w:hint="default"/>
        <w:b w:val="0"/>
        <w:bCs/>
      </w:rPr>
    </w:lvl>
    <w:lvl w:ilvl="1">
      <w:start w:val="1"/>
      <w:numFmt w:val="decimal"/>
      <w:lvlText w:val="%1.%2"/>
      <w:lvlJc w:val="left"/>
      <w:pPr>
        <w:ind w:left="144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29" w15:restartNumberingAfterBreak="0">
    <w:nsid w:val="4D091322"/>
    <w:multiLevelType w:val="hybridMultilevel"/>
    <w:tmpl w:val="46D60820"/>
    <w:lvl w:ilvl="0" w:tplc="8A92770A">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FF51E3"/>
    <w:multiLevelType w:val="multilevel"/>
    <w:tmpl w:val="1A3CD8E8"/>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F996234"/>
    <w:multiLevelType w:val="hybridMultilevel"/>
    <w:tmpl w:val="640ED3A4"/>
    <w:lvl w:ilvl="0" w:tplc="CBA64424">
      <w:start w:val="1"/>
      <w:numFmt w:val="bullet"/>
      <w:lvlText w:val=""/>
      <w:lvlJc w:val="left"/>
      <w:pPr>
        <w:ind w:left="1080" w:hanging="360"/>
      </w:pPr>
      <w:rPr>
        <w:rFonts w:ascii="Symbol" w:hAnsi="Symbol"/>
      </w:rPr>
    </w:lvl>
    <w:lvl w:ilvl="1" w:tplc="8946DC20">
      <w:start w:val="1"/>
      <w:numFmt w:val="bullet"/>
      <w:lvlText w:val=""/>
      <w:lvlJc w:val="left"/>
      <w:pPr>
        <w:ind w:left="1080" w:hanging="360"/>
      </w:pPr>
      <w:rPr>
        <w:rFonts w:ascii="Symbol" w:hAnsi="Symbol"/>
      </w:rPr>
    </w:lvl>
    <w:lvl w:ilvl="2" w:tplc="73B08BE8">
      <w:start w:val="1"/>
      <w:numFmt w:val="bullet"/>
      <w:lvlText w:val=""/>
      <w:lvlJc w:val="left"/>
      <w:pPr>
        <w:ind w:left="1080" w:hanging="360"/>
      </w:pPr>
      <w:rPr>
        <w:rFonts w:ascii="Symbol" w:hAnsi="Symbol"/>
      </w:rPr>
    </w:lvl>
    <w:lvl w:ilvl="3" w:tplc="EFB45EF4">
      <w:start w:val="1"/>
      <w:numFmt w:val="bullet"/>
      <w:lvlText w:val=""/>
      <w:lvlJc w:val="left"/>
      <w:pPr>
        <w:ind w:left="1080" w:hanging="360"/>
      </w:pPr>
      <w:rPr>
        <w:rFonts w:ascii="Symbol" w:hAnsi="Symbol"/>
      </w:rPr>
    </w:lvl>
    <w:lvl w:ilvl="4" w:tplc="0FF0E69E">
      <w:start w:val="1"/>
      <w:numFmt w:val="bullet"/>
      <w:lvlText w:val=""/>
      <w:lvlJc w:val="left"/>
      <w:pPr>
        <w:ind w:left="1080" w:hanging="360"/>
      </w:pPr>
      <w:rPr>
        <w:rFonts w:ascii="Symbol" w:hAnsi="Symbol"/>
      </w:rPr>
    </w:lvl>
    <w:lvl w:ilvl="5" w:tplc="CB6468C8">
      <w:start w:val="1"/>
      <w:numFmt w:val="bullet"/>
      <w:lvlText w:val=""/>
      <w:lvlJc w:val="left"/>
      <w:pPr>
        <w:ind w:left="1080" w:hanging="360"/>
      </w:pPr>
      <w:rPr>
        <w:rFonts w:ascii="Symbol" w:hAnsi="Symbol"/>
      </w:rPr>
    </w:lvl>
    <w:lvl w:ilvl="6" w:tplc="4D2611EE">
      <w:start w:val="1"/>
      <w:numFmt w:val="bullet"/>
      <w:lvlText w:val=""/>
      <w:lvlJc w:val="left"/>
      <w:pPr>
        <w:ind w:left="1080" w:hanging="360"/>
      </w:pPr>
      <w:rPr>
        <w:rFonts w:ascii="Symbol" w:hAnsi="Symbol"/>
      </w:rPr>
    </w:lvl>
    <w:lvl w:ilvl="7" w:tplc="139CAC46">
      <w:start w:val="1"/>
      <w:numFmt w:val="bullet"/>
      <w:lvlText w:val=""/>
      <w:lvlJc w:val="left"/>
      <w:pPr>
        <w:ind w:left="1080" w:hanging="360"/>
      </w:pPr>
      <w:rPr>
        <w:rFonts w:ascii="Symbol" w:hAnsi="Symbol"/>
      </w:rPr>
    </w:lvl>
    <w:lvl w:ilvl="8" w:tplc="7DE2DB42">
      <w:start w:val="1"/>
      <w:numFmt w:val="bullet"/>
      <w:lvlText w:val=""/>
      <w:lvlJc w:val="left"/>
      <w:pPr>
        <w:ind w:left="1080" w:hanging="360"/>
      </w:pPr>
      <w:rPr>
        <w:rFonts w:ascii="Symbol" w:hAnsi="Symbol"/>
      </w:rPr>
    </w:lvl>
  </w:abstractNum>
  <w:abstractNum w:abstractNumId="32" w15:restartNumberingAfterBreak="0">
    <w:nsid w:val="53F4700B"/>
    <w:multiLevelType w:val="hybridMultilevel"/>
    <w:tmpl w:val="C8B42990"/>
    <w:lvl w:ilvl="0" w:tplc="A4FE3FCE">
      <w:start w:val="1"/>
      <w:numFmt w:val="decimal"/>
      <w:lvlText w:val="%1."/>
      <w:lvlJc w:val="left"/>
      <w:pPr>
        <w:ind w:left="720" w:hanging="360"/>
      </w:pPr>
      <w:rPr>
        <w:rFonts w:hint="default"/>
        <w:b w:val="0"/>
        <w:i w:val="0"/>
      </w:rPr>
    </w:lvl>
    <w:lvl w:ilvl="1" w:tplc="D47631BE">
      <w:start w:val="1"/>
      <w:numFmt w:val="lowerLetter"/>
      <w:lvlText w:val="(%2)"/>
      <w:lvlJc w:val="left"/>
      <w:pPr>
        <w:ind w:left="1440" w:hanging="360"/>
      </w:pPr>
      <w:rPr>
        <w:rFonts w:hint="default"/>
        <w:color w:val="595959" w:themeColor="text1" w:themeTint="A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2025F1"/>
    <w:multiLevelType w:val="hybridMultilevel"/>
    <w:tmpl w:val="F2BCB04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6C3A1D"/>
    <w:multiLevelType w:val="multilevel"/>
    <w:tmpl w:val="D676E454"/>
    <w:lvl w:ilvl="0">
      <w:start w:val="1"/>
      <w:numFmt w:val="bullet"/>
      <w:lvlText w:val=""/>
      <w:lvlJc w:val="left"/>
      <w:pPr>
        <w:ind w:left="1440" w:hanging="720"/>
      </w:pPr>
      <w:rPr>
        <w:rFonts w:ascii="Symbol" w:hAnsi="Symbol" w:hint="default"/>
        <w:b/>
        <w:bCs w:val="0"/>
      </w:rPr>
    </w:lvl>
    <w:lvl w:ilvl="1">
      <w:start w:val="1"/>
      <w:numFmt w:val="decimal"/>
      <w:lvlText w:val="%1.%2"/>
      <w:lvlJc w:val="left"/>
      <w:pPr>
        <w:ind w:left="144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35" w15:restartNumberingAfterBreak="0">
    <w:nsid w:val="5AF0009D"/>
    <w:multiLevelType w:val="hybridMultilevel"/>
    <w:tmpl w:val="83D88762"/>
    <w:lvl w:ilvl="0" w:tplc="DF265C9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5CD473D3"/>
    <w:multiLevelType w:val="multilevel"/>
    <w:tmpl w:val="D676E454"/>
    <w:lvl w:ilvl="0">
      <w:start w:val="1"/>
      <w:numFmt w:val="bullet"/>
      <w:lvlText w:val=""/>
      <w:lvlJc w:val="left"/>
      <w:pPr>
        <w:ind w:left="1440" w:hanging="720"/>
      </w:pPr>
      <w:rPr>
        <w:rFonts w:ascii="Symbol" w:hAnsi="Symbol" w:hint="default"/>
        <w:b/>
        <w:bCs w:val="0"/>
      </w:rPr>
    </w:lvl>
    <w:lvl w:ilvl="1">
      <w:start w:val="1"/>
      <w:numFmt w:val="decimal"/>
      <w:lvlText w:val="%1.%2"/>
      <w:lvlJc w:val="left"/>
      <w:pPr>
        <w:ind w:left="144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37" w15:restartNumberingAfterBreak="0">
    <w:nsid w:val="5D0C4C78"/>
    <w:multiLevelType w:val="hybridMultilevel"/>
    <w:tmpl w:val="C9D4587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61332800"/>
    <w:multiLevelType w:val="multilevel"/>
    <w:tmpl w:val="2938C014"/>
    <w:lvl w:ilvl="0">
      <w:start w:val="1"/>
      <w:numFmt w:val="decimal"/>
      <w:lvlText w:val="%1"/>
      <w:lvlJc w:val="left"/>
      <w:pPr>
        <w:ind w:left="720" w:hanging="720"/>
      </w:pPr>
      <w:rPr>
        <w:rFonts w:hint="default"/>
        <w:b/>
        <w:bCs w:val="0"/>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253533A"/>
    <w:multiLevelType w:val="multilevel"/>
    <w:tmpl w:val="665EC1F0"/>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ascii="Arial" w:hAnsi="Arial" w:cs="Arial"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2825999"/>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3E05CC4"/>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4CE7CF2"/>
    <w:multiLevelType w:val="hybridMultilevel"/>
    <w:tmpl w:val="4F04D4E4"/>
    <w:lvl w:ilvl="0" w:tplc="DF265C9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5CD3471"/>
    <w:multiLevelType w:val="hybridMultilevel"/>
    <w:tmpl w:val="F2BCB040"/>
    <w:lvl w:ilvl="0" w:tplc="FFFFFFFF">
      <w:start w:val="1"/>
      <w:numFmt w:val="lowerRoman"/>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4" w15:restartNumberingAfterBreak="0">
    <w:nsid w:val="66F76567"/>
    <w:multiLevelType w:val="multilevel"/>
    <w:tmpl w:val="34D41D92"/>
    <w:numStyleLink w:val="WL-Bullets"/>
  </w:abstractNum>
  <w:abstractNum w:abstractNumId="45" w15:restartNumberingAfterBreak="0">
    <w:nsid w:val="6CC0433D"/>
    <w:multiLevelType w:val="hybridMultilevel"/>
    <w:tmpl w:val="88C466F8"/>
    <w:lvl w:ilvl="0" w:tplc="A4FE2CA2">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03B6434"/>
    <w:multiLevelType w:val="multilevel"/>
    <w:tmpl w:val="DC3A2846"/>
    <w:lvl w:ilvl="0">
      <w:start w:val="1"/>
      <w:numFmt w:val="decimal"/>
      <w:pStyle w:val="Level1"/>
      <w:lvlText w:val="%1"/>
      <w:lvlJc w:val="left"/>
      <w:pPr>
        <w:tabs>
          <w:tab w:val="num" w:pos="680"/>
        </w:tabs>
        <w:ind w:left="680" w:hanging="680"/>
      </w:pPr>
      <w:rPr>
        <w:rFonts w:ascii="Arial" w:hAnsi="Arial" w:cs="Times New Roman" w:hint="default"/>
        <w:b/>
        <w:i w:val="0"/>
        <w:sz w:val="22"/>
      </w:rPr>
    </w:lvl>
    <w:lvl w:ilvl="1">
      <w:start w:val="1"/>
      <w:numFmt w:val="decimal"/>
      <w:pStyle w:val="Level2"/>
      <w:lvlText w:val="%1.%2"/>
      <w:lvlJc w:val="left"/>
      <w:pPr>
        <w:tabs>
          <w:tab w:val="num" w:pos="822"/>
        </w:tabs>
        <w:ind w:left="822" w:hanging="680"/>
      </w:pPr>
      <w:rPr>
        <w:rFonts w:ascii="Arial" w:hAnsi="Arial" w:cs="Times New Roman" w:hint="default"/>
        <w:b w:val="0"/>
        <w:i w:val="0"/>
        <w:sz w:val="20"/>
        <w:szCs w:val="20"/>
      </w:rPr>
    </w:lvl>
    <w:lvl w:ilvl="2">
      <w:start w:val="1"/>
      <w:numFmt w:val="decimal"/>
      <w:pStyle w:val="Level3"/>
      <w:lvlText w:val="%1.%2"/>
      <w:lvlJc w:val="left"/>
      <w:pPr>
        <w:tabs>
          <w:tab w:val="num" w:pos="1361"/>
        </w:tabs>
        <w:ind w:left="1361" w:hanging="681"/>
      </w:pPr>
      <w:rPr>
        <w:rFonts w:ascii="Arial" w:hAnsi="Arial" w:cs="Times New Roman" w:hint="default"/>
        <w:b/>
        <w:i w:val="0"/>
        <w:sz w:val="17"/>
      </w:rPr>
    </w:lvl>
    <w:lvl w:ilvl="3">
      <w:start w:val="1"/>
      <w:numFmt w:val="lowerRoman"/>
      <w:pStyle w:val="Level4"/>
      <w:lvlText w:val="(%4)"/>
      <w:lvlJc w:val="left"/>
      <w:pPr>
        <w:tabs>
          <w:tab w:val="num" w:pos="2041"/>
        </w:tabs>
        <w:ind w:left="2041" w:hanging="680"/>
      </w:pPr>
      <w:rPr>
        <w:rFonts w:ascii="Arial" w:hAnsi="Arial" w:cs="Times New Roman" w:hint="default"/>
        <w:b w:val="0"/>
        <w:i w:val="0"/>
        <w:sz w:val="20"/>
      </w:rPr>
    </w:lvl>
    <w:lvl w:ilvl="4">
      <w:start w:val="1"/>
      <w:numFmt w:val="lowerLetter"/>
      <w:pStyle w:val="Level5"/>
      <w:lvlText w:val="(%5)"/>
      <w:lvlJc w:val="left"/>
      <w:pPr>
        <w:tabs>
          <w:tab w:val="num" w:pos="2608"/>
        </w:tabs>
        <w:ind w:left="2608" w:hanging="567"/>
      </w:pPr>
      <w:rPr>
        <w:rFonts w:ascii="Arial" w:hAnsi="Arial" w:cs="Times New Roman" w:hint="default"/>
        <w:b w:val="0"/>
        <w:i w:val="0"/>
        <w:sz w:val="20"/>
      </w:rPr>
    </w:lvl>
    <w:lvl w:ilvl="5">
      <w:start w:val="1"/>
      <w:numFmt w:val="upperRoman"/>
      <w:pStyle w:val="Level6"/>
      <w:lvlText w:val="(%6)"/>
      <w:lvlJc w:val="left"/>
      <w:pPr>
        <w:tabs>
          <w:tab w:val="num" w:pos="3289"/>
        </w:tabs>
        <w:ind w:left="3289" w:hanging="681"/>
      </w:pPr>
      <w:rPr>
        <w:rFonts w:ascii="Arial" w:hAnsi="Arial" w:cs="Times New Roman" w:hint="default"/>
        <w:b w:val="0"/>
        <w:i w:val="0"/>
        <w:sz w:val="20"/>
      </w:rPr>
    </w:lvl>
    <w:lvl w:ilvl="6">
      <w:start w:val="1"/>
      <w:numFmt w:val="none"/>
      <w:lvlText w:val=""/>
      <w:lvlJc w:val="left"/>
      <w:pPr>
        <w:tabs>
          <w:tab w:val="num" w:pos="3240"/>
        </w:tabs>
        <w:ind w:left="3240" w:hanging="1080"/>
      </w:pPr>
      <w:rPr>
        <w:rFonts w:cs="Times New Roman" w:hint="default"/>
      </w:rPr>
    </w:lvl>
    <w:lvl w:ilvl="7">
      <w:start w:val="1"/>
      <w:numFmt w:val="none"/>
      <w:lvlText w:val=""/>
      <w:lvlJc w:val="left"/>
      <w:pPr>
        <w:tabs>
          <w:tab w:val="num" w:pos="3744"/>
        </w:tabs>
        <w:ind w:left="3744" w:hanging="1224"/>
      </w:pPr>
      <w:rPr>
        <w:rFonts w:cs="Times New Roman" w:hint="default"/>
      </w:rPr>
    </w:lvl>
    <w:lvl w:ilvl="8">
      <w:start w:val="1"/>
      <w:numFmt w:val="none"/>
      <w:lvlText w:val=""/>
      <w:lvlJc w:val="left"/>
      <w:pPr>
        <w:tabs>
          <w:tab w:val="num" w:pos="4320"/>
        </w:tabs>
        <w:ind w:left="4320" w:hanging="1440"/>
      </w:pPr>
      <w:rPr>
        <w:rFonts w:cs="Times New Roman" w:hint="default"/>
      </w:rPr>
    </w:lvl>
  </w:abstractNum>
  <w:abstractNum w:abstractNumId="47" w15:restartNumberingAfterBreak="0">
    <w:nsid w:val="71134032"/>
    <w:multiLevelType w:val="hybridMultilevel"/>
    <w:tmpl w:val="61289CC2"/>
    <w:lvl w:ilvl="0" w:tplc="DF265C9C">
      <w:start w:val="1"/>
      <w:numFmt w:val="lowerRoman"/>
      <w:lvlText w:val="(%1)"/>
      <w:lvlJc w:val="left"/>
      <w:pPr>
        <w:ind w:left="720" w:hanging="360"/>
      </w:pPr>
      <w:rPr>
        <w:rFonts w:hint="default"/>
      </w:rPr>
    </w:lvl>
    <w:lvl w:ilvl="1" w:tplc="4FBE9746">
      <w:start w:val="1"/>
      <w:numFmt w:val="lowerRoman"/>
      <w:lvlText w:val="(%2)"/>
      <w:lvlJc w:val="left"/>
      <w:pPr>
        <w:ind w:left="1800" w:hanging="72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2167389"/>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CDB28DB"/>
    <w:multiLevelType w:val="multilevel"/>
    <w:tmpl w:val="D676E454"/>
    <w:lvl w:ilvl="0">
      <w:start w:val="1"/>
      <w:numFmt w:val="bullet"/>
      <w:lvlText w:val=""/>
      <w:lvlJc w:val="left"/>
      <w:pPr>
        <w:ind w:left="1440" w:hanging="720"/>
      </w:pPr>
      <w:rPr>
        <w:rFonts w:ascii="Symbol" w:hAnsi="Symbol" w:hint="default"/>
        <w:b/>
        <w:bCs w:val="0"/>
      </w:rPr>
    </w:lvl>
    <w:lvl w:ilvl="1">
      <w:start w:val="1"/>
      <w:numFmt w:val="decimal"/>
      <w:lvlText w:val="%1.%2"/>
      <w:lvlJc w:val="left"/>
      <w:pPr>
        <w:ind w:left="144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num w:numId="1" w16cid:durableId="1642733328">
    <w:abstractNumId w:val="27"/>
  </w:num>
  <w:num w:numId="2" w16cid:durableId="756485380">
    <w:abstractNumId w:val="44"/>
  </w:num>
  <w:num w:numId="3" w16cid:durableId="514154334">
    <w:abstractNumId w:val="32"/>
  </w:num>
  <w:num w:numId="4" w16cid:durableId="1855655712">
    <w:abstractNumId w:val="45"/>
  </w:num>
  <w:num w:numId="5" w16cid:durableId="1742480686">
    <w:abstractNumId w:val="3"/>
  </w:num>
  <w:num w:numId="6" w16cid:durableId="2065835443">
    <w:abstractNumId w:val="39"/>
  </w:num>
  <w:num w:numId="7" w16cid:durableId="818613520">
    <w:abstractNumId w:val="37"/>
  </w:num>
  <w:num w:numId="8" w16cid:durableId="687875652">
    <w:abstractNumId w:val="20"/>
  </w:num>
  <w:num w:numId="9" w16cid:durableId="1426681647">
    <w:abstractNumId w:val="19"/>
  </w:num>
  <w:num w:numId="10" w16cid:durableId="1636447597">
    <w:abstractNumId w:val="17"/>
    <w:lvlOverride w:ilvl="0">
      <w:startOverride w:val="1"/>
    </w:lvlOverride>
    <w:lvlOverride w:ilvl="1"/>
    <w:lvlOverride w:ilvl="2"/>
    <w:lvlOverride w:ilvl="3"/>
    <w:lvlOverride w:ilvl="4"/>
    <w:lvlOverride w:ilvl="5"/>
    <w:lvlOverride w:ilvl="6"/>
    <w:lvlOverride w:ilvl="7"/>
    <w:lvlOverride w:ilvl="8"/>
  </w:num>
  <w:num w:numId="11" w16cid:durableId="405808934">
    <w:abstractNumId w:val="46"/>
  </w:num>
  <w:num w:numId="12" w16cid:durableId="1153135497">
    <w:abstractNumId w:val="15"/>
  </w:num>
  <w:num w:numId="13" w16cid:durableId="90010696">
    <w:abstractNumId w:val="47"/>
  </w:num>
  <w:num w:numId="14" w16cid:durableId="1060983067">
    <w:abstractNumId w:val="26"/>
  </w:num>
  <w:num w:numId="15" w16cid:durableId="127092296">
    <w:abstractNumId w:val="2"/>
  </w:num>
  <w:num w:numId="16" w16cid:durableId="2090036593">
    <w:abstractNumId w:val="40"/>
  </w:num>
  <w:num w:numId="17" w16cid:durableId="555166275">
    <w:abstractNumId w:val="41"/>
  </w:num>
  <w:num w:numId="18" w16cid:durableId="2002662009">
    <w:abstractNumId w:val="28"/>
  </w:num>
  <w:num w:numId="19" w16cid:durableId="592477905">
    <w:abstractNumId w:val="49"/>
  </w:num>
  <w:num w:numId="20" w16cid:durableId="739911057">
    <w:abstractNumId w:val="34"/>
  </w:num>
  <w:num w:numId="21" w16cid:durableId="476146465">
    <w:abstractNumId w:val="1"/>
  </w:num>
  <w:num w:numId="22" w16cid:durableId="514922608">
    <w:abstractNumId w:val="25"/>
  </w:num>
  <w:num w:numId="23" w16cid:durableId="696271641">
    <w:abstractNumId w:val="36"/>
  </w:num>
  <w:num w:numId="24" w16cid:durableId="788863865">
    <w:abstractNumId w:val="24"/>
  </w:num>
  <w:num w:numId="25" w16cid:durableId="1174761217">
    <w:abstractNumId w:val="29"/>
  </w:num>
  <w:num w:numId="26" w16cid:durableId="725302933">
    <w:abstractNumId w:val="16"/>
  </w:num>
  <w:num w:numId="27" w16cid:durableId="1744720404">
    <w:abstractNumId w:val="12"/>
  </w:num>
  <w:num w:numId="28" w16cid:durableId="661813768">
    <w:abstractNumId w:val="42"/>
  </w:num>
  <w:num w:numId="29" w16cid:durableId="758674296">
    <w:abstractNumId w:val="8"/>
  </w:num>
  <w:num w:numId="30" w16cid:durableId="526019252">
    <w:abstractNumId w:val="48"/>
  </w:num>
  <w:num w:numId="31" w16cid:durableId="1744643438">
    <w:abstractNumId w:val="10"/>
  </w:num>
  <w:num w:numId="32" w16cid:durableId="1425614886">
    <w:abstractNumId w:val="7"/>
  </w:num>
  <w:num w:numId="33" w16cid:durableId="2041127583">
    <w:abstractNumId w:val="4"/>
  </w:num>
  <w:num w:numId="34" w16cid:durableId="1101805379">
    <w:abstractNumId w:val="33"/>
  </w:num>
  <w:num w:numId="35" w16cid:durableId="1781413889">
    <w:abstractNumId w:val="22"/>
  </w:num>
  <w:num w:numId="36" w16cid:durableId="1446733888">
    <w:abstractNumId w:val="23"/>
  </w:num>
  <w:num w:numId="37" w16cid:durableId="1639728383">
    <w:abstractNumId w:val="13"/>
  </w:num>
  <w:num w:numId="38" w16cid:durableId="1325476753">
    <w:abstractNumId w:val="21"/>
  </w:num>
  <w:num w:numId="39" w16cid:durableId="1804039825">
    <w:abstractNumId w:val="0"/>
  </w:num>
  <w:num w:numId="40" w16cid:durableId="310139259">
    <w:abstractNumId w:val="31"/>
  </w:num>
  <w:num w:numId="41" w16cid:durableId="537739522">
    <w:abstractNumId w:val="6"/>
  </w:num>
  <w:num w:numId="42" w16cid:durableId="748574537">
    <w:abstractNumId w:val="30"/>
  </w:num>
  <w:num w:numId="43" w16cid:durableId="129634325">
    <w:abstractNumId w:val="18"/>
  </w:num>
  <w:num w:numId="44" w16cid:durableId="269356675">
    <w:abstractNumId w:val="5"/>
  </w:num>
  <w:num w:numId="45" w16cid:durableId="1808427438">
    <w:abstractNumId w:val="11"/>
  </w:num>
  <w:num w:numId="46" w16cid:durableId="146169926">
    <w:abstractNumId w:val="14"/>
  </w:num>
  <w:num w:numId="47" w16cid:durableId="1056389777">
    <w:abstractNumId w:val="38"/>
  </w:num>
  <w:num w:numId="48" w16cid:durableId="731123314">
    <w:abstractNumId w:val="35"/>
  </w:num>
  <w:num w:numId="49" w16cid:durableId="501505869">
    <w:abstractNumId w:val="43"/>
  </w:num>
  <w:num w:numId="50" w16cid:durableId="1388069639">
    <w:abstractNumId w:val="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B9"/>
    <w:rsid w:val="00002FB7"/>
    <w:rsid w:val="00003456"/>
    <w:rsid w:val="0000452A"/>
    <w:rsid w:val="00004636"/>
    <w:rsid w:val="0000631C"/>
    <w:rsid w:val="000107A3"/>
    <w:rsid w:val="00011D58"/>
    <w:rsid w:val="000141E7"/>
    <w:rsid w:val="00015C9C"/>
    <w:rsid w:val="00015E33"/>
    <w:rsid w:val="0002089F"/>
    <w:rsid w:val="00021585"/>
    <w:rsid w:val="00022428"/>
    <w:rsid w:val="000251D5"/>
    <w:rsid w:val="000269A5"/>
    <w:rsid w:val="00026DD6"/>
    <w:rsid w:val="00027391"/>
    <w:rsid w:val="000337CD"/>
    <w:rsid w:val="00034F96"/>
    <w:rsid w:val="000367D5"/>
    <w:rsid w:val="00036A7B"/>
    <w:rsid w:val="00044637"/>
    <w:rsid w:val="0005128B"/>
    <w:rsid w:val="00051A1F"/>
    <w:rsid w:val="00054F4C"/>
    <w:rsid w:val="00055AE8"/>
    <w:rsid w:val="00060681"/>
    <w:rsid w:val="000615A9"/>
    <w:rsid w:val="000633C7"/>
    <w:rsid w:val="00070167"/>
    <w:rsid w:val="00074415"/>
    <w:rsid w:val="00076961"/>
    <w:rsid w:val="000778F2"/>
    <w:rsid w:val="00077AB1"/>
    <w:rsid w:val="00082DF7"/>
    <w:rsid w:val="00090554"/>
    <w:rsid w:val="0009064A"/>
    <w:rsid w:val="00091005"/>
    <w:rsid w:val="00092168"/>
    <w:rsid w:val="00093805"/>
    <w:rsid w:val="00097985"/>
    <w:rsid w:val="000A6C62"/>
    <w:rsid w:val="000B1349"/>
    <w:rsid w:val="000B1CB5"/>
    <w:rsid w:val="000B2411"/>
    <w:rsid w:val="000B490A"/>
    <w:rsid w:val="000C037E"/>
    <w:rsid w:val="000C0421"/>
    <w:rsid w:val="000C1B98"/>
    <w:rsid w:val="000C38DF"/>
    <w:rsid w:val="000C3F5E"/>
    <w:rsid w:val="000D0230"/>
    <w:rsid w:val="000D31E5"/>
    <w:rsid w:val="000D6192"/>
    <w:rsid w:val="000D6891"/>
    <w:rsid w:val="000E01F1"/>
    <w:rsid w:val="000E1A62"/>
    <w:rsid w:val="000E1B34"/>
    <w:rsid w:val="000E3ADF"/>
    <w:rsid w:val="000F1298"/>
    <w:rsid w:val="000F1D2D"/>
    <w:rsid w:val="000F3769"/>
    <w:rsid w:val="000F3ABB"/>
    <w:rsid w:val="000F419F"/>
    <w:rsid w:val="000F4307"/>
    <w:rsid w:val="000F69C5"/>
    <w:rsid w:val="00103E3D"/>
    <w:rsid w:val="001058FA"/>
    <w:rsid w:val="0010661B"/>
    <w:rsid w:val="00107724"/>
    <w:rsid w:val="00107FC0"/>
    <w:rsid w:val="001175CC"/>
    <w:rsid w:val="00121FC3"/>
    <w:rsid w:val="00122E74"/>
    <w:rsid w:val="00126282"/>
    <w:rsid w:val="00126A4E"/>
    <w:rsid w:val="00127F94"/>
    <w:rsid w:val="00130553"/>
    <w:rsid w:val="00130749"/>
    <w:rsid w:val="00133CB4"/>
    <w:rsid w:val="001362E1"/>
    <w:rsid w:val="00136811"/>
    <w:rsid w:val="00137349"/>
    <w:rsid w:val="00137B83"/>
    <w:rsid w:val="00137CE7"/>
    <w:rsid w:val="0014572E"/>
    <w:rsid w:val="00146AAA"/>
    <w:rsid w:val="00152153"/>
    <w:rsid w:val="001538B8"/>
    <w:rsid w:val="001548C8"/>
    <w:rsid w:val="00155062"/>
    <w:rsid w:val="00160FEB"/>
    <w:rsid w:val="00162B10"/>
    <w:rsid w:val="00163116"/>
    <w:rsid w:val="00167201"/>
    <w:rsid w:val="00167D73"/>
    <w:rsid w:val="00170DBC"/>
    <w:rsid w:val="00170F28"/>
    <w:rsid w:val="001722DC"/>
    <w:rsid w:val="0017244E"/>
    <w:rsid w:val="00172E4F"/>
    <w:rsid w:val="0017718E"/>
    <w:rsid w:val="001775B8"/>
    <w:rsid w:val="00177F76"/>
    <w:rsid w:val="0018056A"/>
    <w:rsid w:val="0018271F"/>
    <w:rsid w:val="00186190"/>
    <w:rsid w:val="00186722"/>
    <w:rsid w:val="00192600"/>
    <w:rsid w:val="00192F77"/>
    <w:rsid w:val="001930BA"/>
    <w:rsid w:val="00196D13"/>
    <w:rsid w:val="001971C1"/>
    <w:rsid w:val="00197EEA"/>
    <w:rsid w:val="001A0353"/>
    <w:rsid w:val="001A0467"/>
    <w:rsid w:val="001A35D0"/>
    <w:rsid w:val="001A3FC7"/>
    <w:rsid w:val="001A596B"/>
    <w:rsid w:val="001A5C84"/>
    <w:rsid w:val="001A75F5"/>
    <w:rsid w:val="001B047F"/>
    <w:rsid w:val="001B15E8"/>
    <w:rsid w:val="001B2188"/>
    <w:rsid w:val="001B5D6C"/>
    <w:rsid w:val="001B6A85"/>
    <w:rsid w:val="001C0517"/>
    <w:rsid w:val="001C09CE"/>
    <w:rsid w:val="001C42B8"/>
    <w:rsid w:val="001C6448"/>
    <w:rsid w:val="001C69CC"/>
    <w:rsid w:val="001C774E"/>
    <w:rsid w:val="001D24CB"/>
    <w:rsid w:val="001D2DE4"/>
    <w:rsid w:val="001D4EFD"/>
    <w:rsid w:val="001D4F04"/>
    <w:rsid w:val="001D5C75"/>
    <w:rsid w:val="001E082C"/>
    <w:rsid w:val="001E1715"/>
    <w:rsid w:val="001E1BF0"/>
    <w:rsid w:val="001E480C"/>
    <w:rsid w:val="001E5412"/>
    <w:rsid w:val="001F19E9"/>
    <w:rsid w:val="001F24B6"/>
    <w:rsid w:val="001F27BE"/>
    <w:rsid w:val="001F3A6A"/>
    <w:rsid w:val="001F5CEE"/>
    <w:rsid w:val="001F757A"/>
    <w:rsid w:val="001F79D1"/>
    <w:rsid w:val="00201944"/>
    <w:rsid w:val="00201FD8"/>
    <w:rsid w:val="00203E37"/>
    <w:rsid w:val="00204B18"/>
    <w:rsid w:val="00206A38"/>
    <w:rsid w:val="00213A77"/>
    <w:rsid w:val="00216529"/>
    <w:rsid w:val="00216926"/>
    <w:rsid w:val="00217CDC"/>
    <w:rsid w:val="002222C8"/>
    <w:rsid w:val="002239C9"/>
    <w:rsid w:val="0022601B"/>
    <w:rsid w:val="00226E6D"/>
    <w:rsid w:val="00227FD8"/>
    <w:rsid w:val="0023413C"/>
    <w:rsid w:val="00234CF4"/>
    <w:rsid w:val="0024043F"/>
    <w:rsid w:val="00240BD1"/>
    <w:rsid w:val="002415FB"/>
    <w:rsid w:val="00241946"/>
    <w:rsid w:val="00241DC9"/>
    <w:rsid w:val="002431DB"/>
    <w:rsid w:val="0024335C"/>
    <w:rsid w:val="0024339F"/>
    <w:rsid w:val="00243CDE"/>
    <w:rsid w:val="0024436F"/>
    <w:rsid w:val="00244810"/>
    <w:rsid w:val="00245725"/>
    <w:rsid w:val="002469A8"/>
    <w:rsid w:val="00250940"/>
    <w:rsid w:val="002541B9"/>
    <w:rsid w:val="002549AE"/>
    <w:rsid w:val="002603F4"/>
    <w:rsid w:val="0026075E"/>
    <w:rsid w:val="0026421C"/>
    <w:rsid w:val="00264644"/>
    <w:rsid w:val="00267266"/>
    <w:rsid w:val="002700F2"/>
    <w:rsid w:val="00274429"/>
    <w:rsid w:val="002761C3"/>
    <w:rsid w:val="00276409"/>
    <w:rsid w:val="00276EC4"/>
    <w:rsid w:val="002838CD"/>
    <w:rsid w:val="0028746F"/>
    <w:rsid w:val="00290E02"/>
    <w:rsid w:val="00295F26"/>
    <w:rsid w:val="002A03BE"/>
    <w:rsid w:val="002A28F8"/>
    <w:rsid w:val="002A47D9"/>
    <w:rsid w:val="002A6A10"/>
    <w:rsid w:val="002A6B24"/>
    <w:rsid w:val="002A728B"/>
    <w:rsid w:val="002A7BBA"/>
    <w:rsid w:val="002B1B14"/>
    <w:rsid w:val="002B429B"/>
    <w:rsid w:val="002B4AE6"/>
    <w:rsid w:val="002B6AEA"/>
    <w:rsid w:val="002C1388"/>
    <w:rsid w:val="002C2DBC"/>
    <w:rsid w:val="002C31C1"/>
    <w:rsid w:val="002C558A"/>
    <w:rsid w:val="002C66A6"/>
    <w:rsid w:val="002D187F"/>
    <w:rsid w:val="002D2056"/>
    <w:rsid w:val="002D30DA"/>
    <w:rsid w:val="002D4821"/>
    <w:rsid w:val="002D5940"/>
    <w:rsid w:val="002D776B"/>
    <w:rsid w:val="002E0E8E"/>
    <w:rsid w:val="002E1EE5"/>
    <w:rsid w:val="002E3BAF"/>
    <w:rsid w:val="002E48B0"/>
    <w:rsid w:val="002E525A"/>
    <w:rsid w:val="002F0155"/>
    <w:rsid w:val="002F580A"/>
    <w:rsid w:val="002F714D"/>
    <w:rsid w:val="002F7C9A"/>
    <w:rsid w:val="003003C8"/>
    <w:rsid w:val="00301CB9"/>
    <w:rsid w:val="00307C7E"/>
    <w:rsid w:val="00313450"/>
    <w:rsid w:val="0032104F"/>
    <w:rsid w:val="003225BE"/>
    <w:rsid w:val="003248C2"/>
    <w:rsid w:val="00324CE6"/>
    <w:rsid w:val="00330B45"/>
    <w:rsid w:val="00330F03"/>
    <w:rsid w:val="003324EE"/>
    <w:rsid w:val="00335586"/>
    <w:rsid w:val="003358B9"/>
    <w:rsid w:val="00336690"/>
    <w:rsid w:val="0033697C"/>
    <w:rsid w:val="003371FB"/>
    <w:rsid w:val="00337F80"/>
    <w:rsid w:val="00337FE2"/>
    <w:rsid w:val="003404E3"/>
    <w:rsid w:val="003452D5"/>
    <w:rsid w:val="003463C4"/>
    <w:rsid w:val="00351408"/>
    <w:rsid w:val="00352339"/>
    <w:rsid w:val="00354790"/>
    <w:rsid w:val="003562D0"/>
    <w:rsid w:val="0035659D"/>
    <w:rsid w:val="003571D2"/>
    <w:rsid w:val="00362896"/>
    <w:rsid w:val="0036375D"/>
    <w:rsid w:val="003662F5"/>
    <w:rsid w:val="00367975"/>
    <w:rsid w:val="00371971"/>
    <w:rsid w:val="00372A8E"/>
    <w:rsid w:val="003734F2"/>
    <w:rsid w:val="00375F80"/>
    <w:rsid w:val="00376B10"/>
    <w:rsid w:val="00377C48"/>
    <w:rsid w:val="00381821"/>
    <w:rsid w:val="003839A9"/>
    <w:rsid w:val="003859A3"/>
    <w:rsid w:val="00390FC8"/>
    <w:rsid w:val="00393E91"/>
    <w:rsid w:val="003954CE"/>
    <w:rsid w:val="0039628C"/>
    <w:rsid w:val="00397096"/>
    <w:rsid w:val="003970D0"/>
    <w:rsid w:val="003975A7"/>
    <w:rsid w:val="00397DFD"/>
    <w:rsid w:val="003A109F"/>
    <w:rsid w:val="003A3334"/>
    <w:rsid w:val="003A4FA2"/>
    <w:rsid w:val="003A5D97"/>
    <w:rsid w:val="003A610E"/>
    <w:rsid w:val="003B0A68"/>
    <w:rsid w:val="003B1F1B"/>
    <w:rsid w:val="003B2BC5"/>
    <w:rsid w:val="003B5950"/>
    <w:rsid w:val="003B729A"/>
    <w:rsid w:val="003C0995"/>
    <w:rsid w:val="003C2999"/>
    <w:rsid w:val="003C5D01"/>
    <w:rsid w:val="003D54C3"/>
    <w:rsid w:val="003D732D"/>
    <w:rsid w:val="003D7993"/>
    <w:rsid w:val="003E71A6"/>
    <w:rsid w:val="003E773E"/>
    <w:rsid w:val="003F1F08"/>
    <w:rsid w:val="003F28A7"/>
    <w:rsid w:val="003F3832"/>
    <w:rsid w:val="003F465C"/>
    <w:rsid w:val="003F7643"/>
    <w:rsid w:val="004002F6"/>
    <w:rsid w:val="00401D19"/>
    <w:rsid w:val="00403E50"/>
    <w:rsid w:val="00404674"/>
    <w:rsid w:val="00407027"/>
    <w:rsid w:val="00414078"/>
    <w:rsid w:val="004170D4"/>
    <w:rsid w:val="00417409"/>
    <w:rsid w:val="004227F7"/>
    <w:rsid w:val="004245BA"/>
    <w:rsid w:val="00424721"/>
    <w:rsid w:val="00426915"/>
    <w:rsid w:val="0043027B"/>
    <w:rsid w:val="00432D31"/>
    <w:rsid w:val="0043461D"/>
    <w:rsid w:val="0043697B"/>
    <w:rsid w:val="00441DD0"/>
    <w:rsid w:val="004427A0"/>
    <w:rsid w:val="00443683"/>
    <w:rsid w:val="00446088"/>
    <w:rsid w:val="00453F60"/>
    <w:rsid w:val="0045485B"/>
    <w:rsid w:val="0045499E"/>
    <w:rsid w:val="00455E94"/>
    <w:rsid w:val="00456159"/>
    <w:rsid w:val="00456323"/>
    <w:rsid w:val="00456B6E"/>
    <w:rsid w:val="00457C42"/>
    <w:rsid w:val="00460C6A"/>
    <w:rsid w:val="00461808"/>
    <w:rsid w:val="004666C9"/>
    <w:rsid w:val="00466FFA"/>
    <w:rsid w:val="0047450F"/>
    <w:rsid w:val="00474787"/>
    <w:rsid w:val="004767C3"/>
    <w:rsid w:val="00482B6E"/>
    <w:rsid w:val="0048414D"/>
    <w:rsid w:val="004841CB"/>
    <w:rsid w:val="00484B59"/>
    <w:rsid w:val="00484E6F"/>
    <w:rsid w:val="0048641A"/>
    <w:rsid w:val="0048754C"/>
    <w:rsid w:val="00491F0E"/>
    <w:rsid w:val="00493C39"/>
    <w:rsid w:val="00497F6E"/>
    <w:rsid w:val="004A13C9"/>
    <w:rsid w:val="004A2369"/>
    <w:rsid w:val="004A5EEC"/>
    <w:rsid w:val="004A62F2"/>
    <w:rsid w:val="004B18BB"/>
    <w:rsid w:val="004B2248"/>
    <w:rsid w:val="004B39F9"/>
    <w:rsid w:val="004B49FB"/>
    <w:rsid w:val="004C1AD0"/>
    <w:rsid w:val="004C3607"/>
    <w:rsid w:val="004C42C7"/>
    <w:rsid w:val="004C4C26"/>
    <w:rsid w:val="004C5F29"/>
    <w:rsid w:val="004D0C92"/>
    <w:rsid w:val="004D777B"/>
    <w:rsid w:val="004D79CA"/>
    <w:rsid w:val="004E2D06"/>
    <w:rsid w:val="004E3085"/>
    <w:rsid w:val="004E399F"/>
    <w:rsid w:val="004E6C7F"/>
    <w:rsid w:val="004E7CA7"/>
    <w:rsid w:val="004F1C91"/>
    <w:rsid w:val="004F2AB5"/>
    <w:rsid w:val="004F4EC3"/>
    <w:rsid w:val="00512ECB"/>
    <w:rsid w:val="00514473"/>
    <w:rsid w:val="00520B8B"/>
    <w:rsid w:val="00523260"/>
    <w:rsid w:val="005237FD"/>
    <w:rsid w:val="00523D0B"/>
    <w:rsid w:val="005251D4"/>
    <w:rsid w:val="00527433"/>
    <w:rsid w:val="005329FA"/>
    <w:rsid w:val="0053516D"/>
    <w:rsid w:val="00535E66"/>
    <w:rsid w:val="00536364"/>
    <w:rsid w:val="00543F0D"/>
    <w:rsid w:val="00545465"/>
    <w:rsid w:val="00545A09"/>
    <w:rsid w:val="00546DB4"/>
    <w:rsid w:val="00550147"/>
    <w:rsid w:val="00551805"/>
    <w:rsid w:val="0055278B"/>
    <w:rsid w:val="00554B18"/>
    <w:rsid w:val="00556B05"/>
    <w:rsid w:val="00557A99"/>
    <w:rsid w:val="005641F4"/>
    <w:rsid w:val="0056651E"/>
    <w:rsid w:val="005675D5"/>
    <w:rsid w:val="00570334"/>
    <w:rsid w:val="005770F9"/>
    <w:rsid w:val="00577F37"/>
    <w:rsid w:val="00580CEA"/>
    <w:rsid w:val="00581044"/>
    <w:rsid w:val="00582478"/>
    <w:rsid w:val="005953DB"/>
    <w:rsid w:val="005954F0"/>
    <w:rsid w:val="00595F5C"/>
    <w:rsid w:val="00597735"/>
    <w:rsid w:val="005A3041"/>
    <w:rsid w:val="005A762F"/>
    <w:rsid w:val="005B070B"/>
    <w:rsid w:val="005B2280"/>
    <w:rsid w:val="005C06EF"/>
    <w:rsid w:val="005C0CC7"/>
    <w:rsid w:val="005C2605"/>
    <w:rsid w:val="005C660D"/>
    <w:rsid w:val="005D02A0"/>
    <w:rsid w:val="005D228F"/>
    <w:rsid w:val="005D7583"/>
    <w:rsid w:val="005E05F7"/>
    <w:rsid w:val="005E0C0E"/>
    <w:rsid w:val="005E5F3C"/>
    <w:rsid w:val="005F2028"/>
    <w:rsid w:val="005F383F"/>
    <w:rsid w:val="005F5034"/>
    <w:rsid w:val="005F6259"/>
    <w:rsid w:val="006024E1"/>
    <w:rsid w:val="00605135"/>
    <w:rsid w:val="00605463"/>
    <w:rsid w:val="00605659"/>
    <w:rsid w:val="00606BBE"/>
    <w:rsid w:val="00607E3C"/>
    <w:rsid w:val="0061008C"/>
    <w:rsid w:val="00610D7D"/>
    <w:rsid w:val="00613A6B"/>
    <w:rsid w:val="00613B2B"/>
    <w:rsid w:val="006159F2"/>
    <w:rsid w:val="00620332"/>
    <w:rsid w:val="0062420D"/>
    <w:rsid w:val="006262B4"/>
    <w:rsid w:val="00626974"/>
    <w:rsid w:val="006305CC"/>
    <w:rsid w:val="00630C5A"/>
    <w:rsid w:val="00631C71"/>
    <w:rsid w:val="0063517C"/>
    <w:rsid w:val="006368B9"/>
    <w:rsid w:val="00636F8D"/>
    <w:rsid w:val="00640514"/>
    <w:rsid w:val="00640C05"/>
    <w:rsid w:val="00641396"/>
    <w:rsid w:val="00646D9A"/>
    <w:rsid w:val="0065155B"/>
    <w:rsid w:val="00652C4D"/>
    <w:rsid w:val="0065360F"/>
    <w:rsid w:val="00655530"/>
    <w:rsid w:val="00656AEF"/>
    <w:rsid w:val="00657020"/>
    <w:rsid w:val="00660E93"/>
    <w:rsid w:val="006613FE"/>
    <w:rsid w:val="00661759"/>
    <w:rsid w:val="006617C9"/>
    <w:rsid w:val="00662ABA"/>
    <w:rsid w:val="006633D6"/>
    <w:rsid w:val="006645E3"/>
    <w:rsid w:val="00665274"/>
    <w:rsid w:val="00674148"/>
    <w:rsid w:val="00677921"/>
    <w:rsid w:val="0068427E"/>
    <w:rsid w:val="00690DF8"/>
    <w:rsid w:val="00693D28"/>
    <w:rsid w:val="006A3145"/>
    <w:rsid w:val="006A62D8"/>
    <w:rsid w:val="006B3D87"/>
    <w:rsid w:val="006B4C03"/>
    <w:rsid w:val="006B58D0"/>
    <w:rsid w:val="006B7622"/>
    <w:rsid w:val="006C0022"/>
    <w:rsid w:val="006C3257"/>
    <w:rsid w:val="006C575B"/>
    <w:rsid w:val="006C5E1A"/>
    <w:rsid w:val="006C6719"/>
    <w:rsid w:val="006C7086"/>
    <w:rsid w:val="006D0315"/>
    <w:rsid w:val="006D157F"/>
    <w:rsid w:val="006D1CBF"/>
    <w:rsid w:val="006D3AA4"/>
    <w:rsid w:val="006D566A"/>
    <w:rsid w:val="006D64E6"/>
    <w:rsid w:val="006E6DFE"/>
    <w:rsid w:val="006F3A5C"/>
    <w:rsid w:val="006F5E9B"/>
    <w:rsid w:val="00700177"/>
    <w:rsid w:val="0070303B"/>
    <w:rsid w:val="007031CB"/>
    <w:rsid w:val="00705308"/>
    <w:rsid w:val="00707C6C"/>
    <w:rsid w:val="00710CFD"/>
    <w:rsid w:val="00710F5A"/>
    <w:rsid w:val="007113AF"/>
    <w:rsid w:val="0071177A"/>
    <w:rsid w:val="007126D7"/>
    <w:rsid w:val="00712A4D"/>
    <w:rsid w:val="007139A8"/>
    <w:rsid w:val="0071665A"/>
    <w:rsid w:val="0071689A"/>
    <w:rsid w:val="00716F09"/>
    <w:rsid w:val="007210FB"/>
    <w:rsid w:val="00722D22"/>
    <w:rsid w:val="00725FC9"/>
    <w:rsid w:val="00727F32"/>
    <w:rsid w:val="00730528"/>
    <w:rsid w:val="0073085E"/>
    <w:rsid w:val="007342A4"/>
    <w:rsid w:val="0073642C"/>
    <w:rsid w:val="00737A44"/>
    <w:rsid w:val="007435B3"/>
    <w:rsid w:val="0074485D"/>
    <w:rsid w:val="00745DCA"/>
    <w:rsid w:val="0074632C"/>
    <w:rsid w:val="00746B04"/>
    <w:rsid w:val="0074748F"/>
    <w:rsid w:val="007524B2"/>
    <w:rsid w:val="00752A70"/>
    <w:rsid w:val="00752B31"/>
    <w:rsid w:val="00754AB3"/>
    <w:rsid w:val="00755A26"/>
    <w:rsid w:val="007565C5"/>
    <w:rsid w:val="00756AD6"/>
    <w:rsid w:val="00757A4B"/>
    <w:rsid w:val="00761936"/>
    <w:rsid w:val="00761C33"/>
    <w:rsid w:val="0076497A"/>
    <w:rsid w:val="00765287"/>
    <w:rsid w:val="00767C5D"/>
    <w:rsid w:val="007707AB"/>
    <w:rsid w:val="0077629B"/>
    <w:rsid w:val="00776E55"/>
    <w:rsid w:val="007807FB"/>
    <w:rsid w:val="00782AD2"/>
    <w:rsid w:val="00786CA8"/>
    <w:rsid w:val="00787395"/>
    <w:rsid w:val="00787EC8"/>
    <w:rsid w:val="00791A3B"/>
    <w:rsid w:val="007A0A94"/>
    <w:rsid w:val="007B06A8"/>
    <w:rsid w:val="007B2223"/>
    <w:rsid w:val="007B2E88"/>
    <w:rsid w:val="007B56AE"/>
    <w:rsid w:val="007C3DE5"/>
    <w:rsid w:val="007C6DBA"/>
    <w:rsid w:val="007C7F43"/>
    <w:rsid w:val="007D00DB"/>
    <w:rsid w:val="007D2971"/>
    <w:rsid w:val="007D2C6A"/>
    <w:rsid w:val="007D5736"/>
    <w:rsid w:val="007E0187"/>
    <w:rsid w:val="007E33FB"/>
    <w:rsid w:val="007E399C"/>
    <w:rsid w:val="007E3EB1"/>
    <w:rsid w:val="007E4203"/>
    <w:rsid w:val="007E4AC4"/>
    <w:rsid w:val="007E52C8"/>
    <w:rsid w:val="007E54EE"/>
    <w:rsid w:val="007E61AC"/>
    <w:rsid w:val="007E62FA"/>
    <w:rsid w:val="007E7759"/>
    <w:rsid w:val="007F085C"/>
    <w:rsid w:val="007F293F"/>
    <w:rsid w:val="007F2BCD"/>
    <w:rsid w:val="007F3B0D"/>
    <w:rsid w:val="007F3D25"/>
    <w:rsid w:val="007F6828"/>
    <w:rsid w:val="00803332"/>
    <w:rsid w:val="00805769"/>
    <w:rsid w:val="00805B34"/>
    <w:rsid w:val="00806F16"/>
    <w:rsid w:val="0081031A"/>
    <w:rsid w:val="008107EC"/>
    <w:rsid w:val="00810A82"/>
    <w:rsid w:val="00814967"/>
    <w:rsid w:val="00816121"/>
    <w:rsid w:val="00816C20"/>
    <w:rsid w:val="008202DF"/>
    <w:rsid w:val="00820810"/>
    <w:rsid w:val="008211BA"/>
    <w:rsid w:val="008221E6"/>
    <w:rsid w:val="00822EA1"/>
    <w:rsid w:val="00825578"/>
    <w:rsid w:val="0082693B"/>
    <w:rsid w:val="00827A8B"/>
    <w:rsid w:val="00831E0A"/>
    <w:rsid w:val="00833C2E"/>
    <w:rsid w:val="008343C6"/>
    <w:rsid w:val="008370BC"/>
    <w:rsid w:val="008400F2"/>
    <w:rsid w:val="0084131D"/>
    <w:rsid w:val="0084146E"/>
    <w:rsid w:val="008425D8"/>
    <w:rsid w:val="008459A8"/>
    <w:rsid w:val="00854765"/>
    <w:rsid w:val="00862EF5"/>
    <w:rsid w:val="00863F74"/>
    <w:rsid w:val="00871615"/>
    <w:rsid w:val="00871712"/>
    <w:rsid w:val="00872273"/>
    <w:rsid w:val="00876440"/>
    <w:rsid w:val="00880FFE"/>
    <w:rsid w:val="00881626"/>
    <w:rsid w:val="008816EC"/>
    <w:rsid w:val="00886A84"/>
    <w:rsid w:val="008919A0"/>
    <w:rsid w:val="00892738"/>
    <w:rsid w:val="00893945"/>
    <w:rsid w:val="00894F7B"/>
    <w:rsid w:val="008958E3"/>
    <w:rsid w:val="00895A25"/>
    <w:rsid w:val="008963E1"/>
    <w:rsid w:val="00897533"/>
    <w:rsid w:val="008A10A2"/>
    <w:rsid w:val="008A2488"/>
    <w:rsid w:val="008A327B"/>
    <w:rsid w:val="008A330F"/>
    <w:rsid w:val="008A4352"/>
    <w:rsid w:val="008A4841"/>
    <w:rsid w:val="008A7234"/>
    <w:rsid w:val="008B18DB"/>
    <w:rsid w:val="008B1CCB"/>
    <w:rsid w:val="008B2D0E"/>
    <w:rsid w:val="008B53F0"/>
    <w:rsid w:val="008B76CD"/>
    <w:rsid w:val="008C01EC"/>
    <w:rsid w:val="008C2FA9"/>
    <w:rsid w:val="008C3280"/>
    <w:rsid w:val="008D1EC7"/>
    <w:rsid w:val="008D4C72"/>
    <w:rsid w:val="008D611B"/>
    <w:rsid w:val="008D7568"/>
    <w:rsid w:val="008E0DA0"/>
    <w:rsid w:val="008E1F6F"/>
    <w:rsid w:val="008E258C"/>
    <w:rsid w:val="008E5FD2"/>
    <w:rsid w:val="008F0D34"/>
    <w:rsid w:val="008F2EFB"/>
    <w:rsid w:val="008F3C0D"/>
    <w:rsid w:val="008F3F0D"/>
    <w:rsid w:val="008F565A"/>
    <w:rsid w:val="008F6CCD"/>
    <w:rsid w:val="009028FF"/>
    <w:rsid w:val="00903A15"/>
    <w:rsid w:val="009054CB"/>
    <w:rsid w:val="00905ED8"/>
    <w:rsid w:val="00905F4A"/>
    <w:rsid w:val="00906072"/>
    <w:rsid w:val="00906C22"/>
    <w:rsid w:val="00910EAE"/>
    <w:rsid w:val="009113FD"/>
    <w:rsid w:val="00912FC4"/>
    <w:rsid w:val="00913375"/>
    <w:rsid w:val="00913FEF"/>
    <w:rsid w:val="00915C77"/>
    <w:rsid w:val="00917CAC"/>
    <w:rsid w:val="00920858"/>
    <w:rsid w:val="00921AE4"/>
    <w:rsid w:val="00924BE3"/>
    <w:rsid w:val="00926734"/>
    <w:rsid w:val="00927AA0"/>
    <w:rsid w:val="00930F2A"/>
    <w:rsid w:val="00931B63"/>
    <w:rsid w:val="00932820"/>
    <w:rsid w:val="00933392"/>
    <w:rsid w:val="00934464"/>
    <w:rsid w:val="009347A5"/>
    <w:rsid w:val="00934BAB"/>
    <w:rsid w:val="00940216"/>
    <w:rsid w:val="00943457"/>
    <w:rsid w:val="00944D01"/>
    <w:rsid w:val="009452E6"/>
    <w:rsid w:val="009526CB"/>
    <w:rsid w:val="009555D0"/>
    <w:rsid w:val="00957F0C"/>
    <w:rsid w:val="00973F00"/>
    <w:rsid w:val="00976282"/>
    <w:rsid w:val="00983046"/>
    <w:rsid w:val="00985325"/>
    <w:rsid w:val="0098794F"/>
    <w:rsid w:val="00990FB6"/>
    <w:rsid w:val="00992A0E"/>
    <w:rsid w:val="00992C3D"/>
    <w:rsid w:val="00993889"/>
    <w:rsid w:val="00996599"/>
    <w:rsid w:val="00996F67"/>
    <w:rsid w:val="00997DAA"/>
    <w:rsid w:val="009A6BD3"/>
    <w:rsid w:val="009B5D79"/>
    <w:rsid w:val="009B5FA2"/>
    <w:rsid w:val="009B680C"/>
    <w:rsid w:val="009C09F4"/>
    <w:rsid w:val="009C23CD"/>
    <w:rsid w:val="009C6509"/>
    <w:rsid w:val="009C698A"/>
    <w:rsid w:val="009C7F7A"/>
    <w:rsid w:val="009D2D3F"/>
    <w:rsid w:val="009D2E17"/>
    <w:rsid w:val="009D30BE"/>
    <w:rsid w:val="009E1A1D"/>
    <w:rsid w:val="009E22A2"/>
    <w:rsid w:val="009E34BC"/>
    <w:rsid w:val="009F1E99"/>
    <w:rsid w:val="009F679D"/>
    <w:rsid w:val="009F692F"/>
    <w:rsid w:val="00A019A6"/>
    <w:rsid w:val="00A0371E"/>
    <w:rsid w:val="00A04CF0"/>
    <w:rsid w:val="00A0548A"/>
    <w:rsid w:val="00A0715D"/>
    <w:rsid w:val="00A20066"/>
    <w:rsid w:val="00A2044F"/>
    <w:rsid w:val="00A207AF"/>
    <w:rsid w:val="00A209B8"/>
    <w:rsid w:val="00A23649"/>
    <w:rsid w:val="00A258EE"/>
    <w:rsid w:val="00A26122"/>
    <w:rsid w:val="00A376F4"/>
    <w:rsid w:val="00A40730"/>
    <w:rsid w:val="00A412ED"/>
    <w:rsid w:val="00A43FA2"/>
    <w:rsid w:val="00A4554C"/>
    <w:rsid w:val="00A46098"/>
    <w:rsid w:val="00A531E5"/>
    <w:rsid w:val="00A5499E"/>
    <w:rsid w:val="00A55347"/>
    <w:rsid w:val="00A57B2F"/>
    <w:rsid w:val="00A60792"/>
    <w:rsid w:val="00A63647"/>
    <w:rsid w:val="00A6416F"/>
    <w:rsid w:val="00A728FD"/>
    <w:rsid w:val="00A72ADE"/>
    <w:rsid w:val="00A74A7F"/>
    <w:rsid w:val="00A775F3"/>
    <w:rsid w:val="00A80A11"/>
    <w:rsid w:val="00A816A8"/>
    <w:rsid w:val="00A82CC7"/>
    <w:rsid w:val="00A850C7"/>
    <w:rsid w:val="00A85DAD"/>
    <w:rsid w:val="00A860FF"/>
    <w:rsid w:val="00A86231"/>
    <w:rsid w:val="00A9061D"/>
    <w:rsid w:val="00A914C8"/>
    <w:rsid w:val="00A92549"/>
    <w:rsid w:val="00A93770"/>
    <w:rsid w:val="00A94F34"/>
    <w:rsid w:val="00A9526C"/>
    <w:rsid w:val="00A96F46"/>
    <w:rsid w:val="00AA024C"/>
    <w:rsid w:val="00AA061D"/>
    <w:rsid w:val="00AA3729"/>
    <w:rsid w:val="00AA55CA"/>
    <w:rsid w:val="00AB177F"/>
    <w:rsid w:val="00AB1980"/>
    <w:rsid w:val="00AB33B0"/>
    <w:rsid w:val="00AB4288"/>
    <w:rsid w:val="00AB441B"/>
    <w:rsid w:val="00AB4CF3"/>
    <w:rsid w:val="00AB4CFC"/>
    <w:rsid w:val="00AB7761"/>
    <w:rsid w:val="00AC00A0"/>
    <w:rsid w:val="00AC08D9"/>
    <w:rsid w:val="00AC1F69"/>
    <w:rsid w:val="00AC2663"/>
    <w:rsid w:val="00AC54D0"/>
    <w:rsid w:val="00AC7C50"/>
    <w:rsid w:val="00AD297B"/>
    <w:rsid w:val="00AD4922"/>
    <w:rsid w:val="00AD6965"/>
    <w:rsid w:val="00AD6AFB"/>
    <w:rsid w:val="00AD734C"/>
    <w:rsid w:val="00AE06F5"/>
    <w:rsid w:val="00AE0E6B"/>
    <w:rsid w:val="00AE19C2"/>
    <w:rsid w:val="00AE4D7D"/>
    <w:rsid w:val="00AE551A"/>
    <w:rsid w:val="00AE59C4"/>
    <w:rsid w:val="00AF04D3"/>
    <w:rsid w:val="00AF0EAA"/>
    <w:rsid w:val="00AF3D3D"/>
    <w:rsid w:val="00AF5F2D"/>
    <w:rsid w:val="00AF6CCB"/>
    <w:rsid w:val="00AF7FBF"/>
    <w:rsid w:val="00B00950"/>
    <w:rsid w:val="00B015B3"/>
    <w:rsid w:val="00B03083"/>
    <w:rsid w:val="00B06AF6"/>
    <w:rsid w:val="00B078DE"/>
    <w:rsid w:val="00B10B63"/>
    <w:rsid w:val="00B127BF"/>
    <w:rsid w:val="00B13C12"/>
    <w:rsid w:val="00B13C82"/>
    <w:rsid w:val="00B13D96"/>
    <w:rsid w:val="00B1604C"/>
    <w:rsid w:val="00B207A4"/>
    <w:rsid w:val="00B26333"/>
    <w:rsid w:val="00B27227"/>
    <w:rsid w:val="00B36187"/>
    <w:rsid w:val="00B36465"/>
    <w:rsid w:val="00B3740A"/>
    <w:rsid w:val="00B410CA"/>
    <w:rsid w:val="00B42DEC"/>
    <w:rsid w:val="00B44DB4"/>
    <w:rsid w:val="00B47BCB"/>
    <w:rsid w:val="00B47F60"/>
    <w:rsid w:val="00B50F50"/>
    <w:rsid w:val="00B52D2D"/>
    <w:rsid w:val="00B541AD"/>
    <w:rsid w:val="00B541BA"/>
    <w:rsid w:val="00B557F2"/>
    <w:rsid w:val="00B56C47"/>
    <w:rsid w:val="00B61AFD"/>
    <w:rsid w:val="00B630D4"/>
    <w:rsid w:val="00B66399"/>
    <w:rsid w:val="00B66BF4"/>
    <w:rsid w:val="00B66CAC"/>
    <w:rsid w:val="00B67A8F"/>
    <w:rsid w:val="00B7139A"/>
    <w:rsid w:val="00B717F3"/>
    <w:rsid w:val="00B71C6F"/>
    <w:rsid w:val="00B71F78"/>
    <w:rsid w:val="00B7213F"/>
    <w:rsid w:val="00B729B5"/>
    <w:rsid w:val="00B74654"/>
    <w:rsid w:val="00B80F72"/>
    <w:rsid w:val="00B81005"/>
    <w:rsid w:val="00B813D1"/>
    <w:rsid w:val="00B838DC"/>
    <w:rsid w:val="00B83E81"/>
    <w:rsid w:val="00B87A45"/>
    <w:rsid w:val="00B87AE0"/>
    <w:rsid w:val="00B90148"/>
    <w:rsid w:val="00B90718"/>
    <w:rsid w:val="00B9223E"/>
    <w:rsid w:val="00B92B56"/>
    <w:rsid w:val="00B93C97"/>
    <w:rsid w:val="00B956EB"/>
    <w:rsid w:val="00B9793A"/>
    <w:rsid w:val="00BA0922"/>
    <w:rsid w:val="00BA6E13"/>
    <w:rsid w:val="00BB0AEB"/>
    <w:rsid w:val="00BB183D"/>
    <w:rsid w:val="00BB3031"/>
    <w:rsid w:val="00BC34F2"/>
    <w:rsid w:val="00BC44F5"/>
    <w:rsid w:val="00BC5290"/>
    <w:rsid w:val="00BD5BC9"/>
    <w:rsid w:val="00BD72E0"/>
    <w:rsid w:val="00BE0AE9"/>
    <w:rsid w:val="00BE14AE"/>
    <w:rsid w:val="00BE6F93"/>
    <w:rsid w:val="00BF27A5"/>
    <w:rsid w:val="00BF3410"/>
    <w:rsid w:val="00BF3ACE"/>
    <w:rsid w:val="00BF3C93"/>
    <w:rsid w:val="00BF405D"/>
    <w:rsid w:val="00BF4C1F"/>
    <w:rsid w:val="00BF507E"/>
    <w:rsid w:val="00BF51A5"/>
    <w:rsid w:val="00BF540F"/>
    <w:rsid w:val="00BF5AF0"/>
    <w:rsid w:val="00BF7759"/>
    <w:rsid w:val="00BF7B9E"/>
    <w:rsid w:val="00BF7CE4"/>
    <w:rsid w:val="00C002A3"/>
    <w:rsid w:val="00C06262"/>
    <w:rsid w:val="00C0721F"/>
    <w:rsid w:val="00C11FB6"/>
    <w:rsid w:val="00C15447"/>
    <w:rsid w:val="00C1681A"/>
    <w:rsid w:val="00C20B78"/>
    <w:rsid w:val="00C212BA"/>
    <w:rsid w:val="00C217D9"/>
    <w:rsid w:val="00C27918"/>
    <w:rsid w:val="00C30097"/>
    <w:rsid w:val="00C3404A"/>
    <w:rsid w:val="00C34F7B"/>
    <w:rsid w:val="00C43A9A"/>
    <w:rsid w:val="00C43CBB"/>
    <w:rsid w:val="00C44CCA"/>
    <w:rsid w:val="00C45921"/>
    <w:rsid w:val="00C51888"/>
    <w:rsid w:val="00C53410"/>
    <w:rsid w:val="00C56A79"/>
    <w:rsid w:val="00C577D6"/>
    <w:rsid w:val="00C57E11"/>
    <w:rsid w:val="00C602EE"/>
    <w:rsid w:val="00C61EAA"/>
    <w:rsid w:val="00C622DE"/>
    <w:rsid w:val="00C631EC"/>
    <w:rsid w:val="00C6533C"/>
    <w:rsid w:val="00C65DA1"/>
    <w:rsid w:val="00C66CE3"/>
    <w:rsid w:val="00C71CC9"/>
    <w:rsid w:val="00C726BF"/>
    <w:rsid w:val="00C72DDB"/>
    <w:rsid w:val="00C72F46"/>
    <w:rsid w:val="00C74F36"/>
    <w:rsid w:val="00C808D4"/>
    <w:rsid w:val="00C80930"/>
    <w:rsid w:val="00C811C7"/>
    <w:rsid w:val="00C81A00"/>
    <w:rsid w:val="00C81C80"/>
    <w:rsid w:val="00C81FCD"/>
    <w:rsid w:val="00C82394"/>
    <w:rsid w:val="00C83867"/>
    <w:rsid w:val="00C84B1C"/>
    <w:rsid w:val="00C852E5"/>
    <w:rsid w:val="00C90614"/>
    <w:rsid w:val="00C94968"/>
    <w:rsid w:val="00CB696F"/>
    <w:rsid w:val="00CC0B73"/>
    <w:rsid w:val="00CC5374"/>
    <w:rsid w:val="00CC6472"/>
    <w:rsid w:val="00CC695D"/>
    <w:rsid w:val="00CC6EF9"/>
    <w:rsid w:val="00CD100B"/>
    <w:rsid w:val="00CD2AE0"/>
    <w:rsid w:val="00CD32A9"/>
    <w:rsid w:val="00CD45B2"/>
    <w:rsid w:val="00CD7EB8"/>
    <w:rsid w:val="00CE05BB"/>
    <w:rsid w:val="00CE110A"/>
    <w:rsid w:val="00CE1688"/>
    <w:rsid w:val="00CE2AA6"/>
    <w:rsid w:val="00CE2F62"/>
    <w:rsid w:val="00CE3187"/>
    <w:rsid w:val="00CE3C33"/>
    <w:rsid w:val="00CE4C7D"/>
    <w:rsid w:val="00CE5F6B"/>
    <w:rsid w:val="00CE5FD0"/>
    <w:rsid w:val="00CE75A9"/>
    <w:rsid w:val="00CF0DE7"/>
    <w:rsid w:val="00CF0E35"/>
    <w:rsid w:val="00D006A9"/>
    <w:rsid w:val="00D011A5"/>
    <w:rsid w:val="00D024BD"/>
    <w:rsid w:val="00D04650"/>
    <w:rsid w:val="00D04A48"/>
    <w:rsid w:val="00D0503D"/>
    <w:rsid w:val="00D0573C"/>
    <w:rsid w:val="00D07B49"/>
    <w:rsid w:val="00D2128D"/>
    <w:rsid w:val="00D2183E"/>
    <w:rsid w:val="00D22EA2"/>
    <w:rsid w:val="00D2545C"/>
    <w:rsid w:val="00D26405"/>
    <w:rsid w:val="00D3097F"/>
    <w:rsid w:val="00D30D1D"/>
    <w:rsid w:val="00D32384"/>
    <w:rsid w:val="00D32691"/>
    <w:rsid w:val="00D326DB"/>
    <w:rsid w:val="00D33A79"/>
    <w:rsid w:val="00D33D69"/>
    <w:rsid w:val="00D40C07"/>
    <w:rsid w:val="00D41797"/>
    <w:rsid w:val="00D42461"/>
    <w:rsid w:val="00D4374A"/>
    <w:rsid w:val="00D463D8"/>
    <w:rsid w:val="00D50D62"/>
    <w:rsid w:val="00D51280"/>
    <w:rsid w:val="00D53415"/>
    <w:rsid w:val="00D60057"/>
    <w:rsid w:val="00D6044A"/>
    <w:rsid w:val="00D60AE4"/>
    <w:rsid w:val="00D623C9"/>
    <w:rsid w:val="00D6724F"/>
    <w:rsid w:val="00D7210F"/>
    <w:rsid w:val="00D72229"/>
    <w:rsid w:val="00D72831"/>
    <w:rsid w:val="00D729BC"/>
    <w:rsid w:val="00D75352"/>
    <w:rsid w:val="00D75FF3"/>
    <w:rsid w:val="00D7671B"/>
    <w:rsid w:val="00D771F6"/>
    <w:rsid w:val="00D80007"/>
    <w:rsid w:val="00D80938"/>
    <w:rsid w:val="00D83307"/>
    <w:rsid w:val="00D90B9F"/>
    <w:rsid w:val="00D93ADE"/>
    <w:rsid w:val="00D9768F"/>
    <w:rsid w:val="00D977FF"/>
    <w:rsid w:val="00D97A1E"/>
    <w:rsid w:val="00DA2F5F"/>
    <w:rsid w:val="00DA5068"/>
    <w:rsid w:val="00DA71D8"/>
    <w:rsid w:val="00DB1610"/>
    <w:rsid w:val="00DB2538"/>
    <w:rsid w:val="00DB547A"/>
    <w:rsid w:val="00DB60A2"/>
    <w:rsid w:val="00DB6DEC"/>
    <w:rsid w:val="00DC16B4"/>
    <w:rsid w:val="00DC1B05"/>
    <w:rsid w:val="00DC4E8E"/>
    <w:rsid w:val="00DC5AD6"/>
    <w:rsid w:val="00DC6834"/>
    <w:rsid w:val="00DD18C2"/>
    <w:rsid w:val="00DD196D"/>
    <w:rsid w:val="00DD1DAC"/>
    <w:rsid w:val="00DD2659"/>
    <w:rsid w:val="00DD45C7"/>
    <w:rsid w:val="00DD47EB"/>
    <w:rsid w:val="00DD4D1D"/>
    <w:rsid w:val="00DD6E03"/>
    <w:rsid w:val="00DD70F9"/>
    <w:rsid w:val="00DE1023"/>
    <w:rsid w:val="00DE10F4"/>
    <w:rsid w:val="00DE2127"/>
    <w:rsid w:val="00DE31CA"/>
    <w:rsid w:val="00DE4055"/>
    <w:rsid w:val="00DE4FFA"/>
    <w:rsid w:val="00DE6446"/>
    <w:rsid w:val="00DE6E7D"/>
    <w:rsid w:val="00DF00A7"/>
    <w:rsid w:val="00DF09D2"/>
    <w:rsid w:val="00DF2CB7"/>
    <w:rsid w:val="00DF4097"/>
    <w:rsid w:val="00DF420F"/>
    <w:rsid w:val="00DF4655"/>
    <w:rsid w:val="00DF4CDF"/>
    <w:rsid w:val="00DF4EAD"/>
    <w:rsid w:val="00DF5596"/>
    <w:rsid w:val="00DF5B9E"/>
    <w:rsid w:val="00DF7CE3"/>
    <w:rsid w:val="00E01AC8"/>
    <w:rsid w:val="00E02C85"/>
    <w:rsid w:val="00E033C5"/>
    <w:rsid w:val="00E03D72"/>
    <w:rsid w:val="00E0586D"/>
    <w:rsid w:val="00E07199"/>
    <w:rsid w:val="00E10549"/>
    <w:rsid w:val="00E10D95"/>
    <w:rsid w:val="00E12088"/>
    <w:rsid w:val="00E12F4C"/>
    <w:rsid w:val="00E136E9"/>
    <w:rsid w:val="00E13A3D"/>
    <w:rsid w:val="00E14F9D"/>
    <w:rsid w:val="00E26FB8"/>
    <w:rsid w:val="00E27807"/>
    <w:rsid w:val="00E309C4"/>
    <w:rsid w:val="00E30D35"/>
    <w:rsid w:val="00E32769"/>
    <w:rsid w:val="00E35EB0"/>
    <w:rsid w:val="00E35EF2"/>
    <w:rsid w:val="00E42989"/>
    <w:rsid w:val="00E42A0A"/>
    <w:rsid w:val="00E44648"/>
    <w:rsid w:val="00E5447C"/>
    <w:rsid w:val="00E54ABF"/>
    <w:rsid w:val="00E558B0"/>
    <w:rsid w:val="00E57EE3"/>
    <w:rsid w:val="00E60902"/>
    <w:rsid w:val="00E615C3"/>
    <w:rsid w:val="00E61775"/>
    <w:rsid w:val="00E623D5"/>
    <w:rsid w:val="00E63147"/>
    <w:rsid w:val="00E63D22"/>
    <w:rsid w:val="00E63E04"/>
    <w:rsid w:val="00E67D46"/>
    <w:rsid w:val="00E71804"/>
    <w:rsid w:val="00E84A68"/>
    <w:rsid w:val="00E851DD"/>
    <w:rsid w:val="00E8707D"/>
    <w:rsid w:val="00E873F8"/>
    <w:rsid w:val="00E909E4"/>
    <w:rsid w:val="00E958AD"/>
    <w:rsid w:val="00E97DD2"/>
    <w:rsid w:val="00EA1734"/>
    <w:rsid w:val="00EA19FA"/>
    <w:rsid w:val="00EA269A"/>
    <w:rsid w:val="00EA55CF"/>
    <w:rsid w:val="00EA5643"/>
    <w:rsid w:val="00EA7BF4"/>
    <w:rsid w:val="00EB0465"/>
    <w:rsid w:val="00EB12EA"/>
    <w:rsid w:val="00EB264B"/>
    <w:rsid w:val="00EB47DC"/>
    <w:rsid w:val="00EB4D1A"/>
    <w:rsid w:val="00EB4E3F"/>
    <w:rsid w:val="00EB5850"/>
    <w:rsid w:val="00EB5D3D"/>
    <w:rsid w:val="00EB6EED"/>
    <w:rsid w:val="00EB7E39"/>
    <w:rsid w:val="00EC2A0D"/>
    <w:rsid w:val="00EC62B0"/>
    <w:rsid w:val="00EC762B"/>
    <w:rsid w:val="00ED51A5"/>
    <w:rsid w:val="00ED7A61"/>
    <w:rsid w:val="00ED7B6D"/>
    <w:rsid w:val="00EE1E15"/>
    <w:rsid w:val="00EE30F7"/>
    <w:rsid w:val="00EE32E0"/>
    <w:rsid w:val="00EE3BFA"/>
    <w:rsid w:val="00EF064B"/>
    <w:rsid w:val="00EF3D57"/>
    <w:rsid w:val="00EF4072"/>
    <w:rsid w:val="00EF4DF9"/>
    <w:rsid w:val="00F035AC"/>
    <w:rsid w:val="00F05512"/>
    <w:rsid w:val="00F05DE5"/>
    <w:rsid w:val="00F07701"/>
    <w:rsid w:val="00F07830"/>
    <w:rsid w:val="00F07C23"/>
    <w:rsid w:val="00F124E3"/>
    <w:rsid w:val="00F127E4"/>
    <w:rsid w:val="00F13BDA"/>
    <w:rsid w:val="00F14342"/>
    <w:rsid w:val="00F15FB8"/>
    <w:rsid w:val="00F170BE"/>
    <w:rsid w:val="00F20512"/>
    <w:rsid w:val="00F216DD"/>
    <w:rsid w:val="00F221B4"/>
    <w:rsid w:val="00F22737"/>
    <w:rsid w:val="00F23E85"/>
    <w:rsid w:val="00F266C1"/>
    <w:rsid w:val="00F2673A"/>
    <w:rsid w:val="00F308DA"/>
    <w:rsid w:val="00F30AEA"/>
    <w:rsid w:val="00F3169D"/>
    <w:rsid w:val="00F31A3D"/>
    <w:rsid w:val="00F3374E"/>
    <w:rsid w:val="00F3435B"/>
    <w:rsid w:val="00F3451A"/>
    <w:rsid w:val="00F36F4D"/>
    <w:rsid w:val="00F36FFC"/>
    <w:rsid w:val="00F40472"/>
    <w:rsid w:val="00F41149"/>
    <w:rsid w:val="00F4246E"/>
    <w:rsid w:val="00F43343"/>
    <w:rsid w:val="00F47CE3"/>
    <w:rsid w:val="00F504B5"/>
    <w:rsid w:val="00F5662C"/>
    <w:rsid w:val="00F571A1"/>
    <w:rsid w:val="00F60536"/>
    <w:rsid w:val="00F61722"/>
    <w:rsid w:val="00F63C4E"/>
    <w:rsid w:val="00F65171"/>
    <w:rsid w:val="00F6534D"/>
    <w:rsid w:val="00F701B5"/>
    <w:rsid w:val="00F767CA"/>
    <w:rsid w:val="00F76F09"/>
    <w:rsid w:val="00F80972"/>
    <w:rsid w:val="00F80D16"/>
    <w:rsid w:val="00F8175B"/>
    <w:rsid w:val="00F83FFE"/>
    <w:rsid w:val="00F843C1"/>
    <w:rsid w:val="00F8753D"/>
    <w:rsid w:val="00F909D4"/>
    <w:rsid w:val="00F9203E"/>
    <w:rsid w:val="00F92C12"/>
    <w:rsid w:val="00F965FF"/>
    <w:rsid w:val="00F97C6C"/>
    <w:rsid w:val="00FA0042"/>
    <w:rsid w:val="00FA30F8"/>
    <w:rsid w:val="00FA6C3F"/>
    <w:rsid w:val="00FA7A80"/>
    <w:rsid w:val="00FB1CB2"/>
    <w:rsid w:val="00FB221F"/>
    <w:rsid w:val="00FB3061"/>
    <w:rsid w:val="00FB5006"/>
    <w:rsid w:val="00FB609F"/>
    <w:rsid w:val="00FB6DF4"/>
    <w:rsid w:val="00FB7F16"/>
    <w:rsid w:val="00FC24BC"/>
    <w:rsid w:val="00FC313A"/>
    <w:rsid w:val="00FC4424"/>
    <w:rsid w:val="00FC6C6F"/>
    <w:rsid w:val="00FD1F1E"/>
    <w:rsid w:val="00FD61A1"/>
    <w:rsid w:val="00FD75D2"/>
    <w:rsid w:val="00FE1900"/>
    <w:rsid w:val="00FE2AC1"/>
    <w:rsid w:val="00FE301B"/>
    <w:rsid w:val="00FE6ECB"/>
    <w:rsid w:val="00FF5D52"/>
    <w:rsid w:val="0EF9EAF9"/>
    <w:rsid w:val="1EC77DA0"/>
    <w:rsid w:val="2CD45CC4"/>
    <w:rsid w:val="4EF0F16A"/>
    <w:rsid w:val="626A7F8D"/>
    <w:rsid w:val="69C72563"/>
    <w:rsid w:val="6F32025F"/>
    <w:rsid w:val="7367876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DCA7B"/>
  <w14:defaultImageDpi w14:val="32767"/>
  <w15:chartTrackingRefBased/>
  <w15:docId w15:val="{7F1FC03E-E114-4CAA-9598-0E1D83646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Normal Body Text"/>
    <w:qFormat/>
    <w:rsid w:val="000337CD"/>
    <w:pPr>
      <w:spacing w:line="276" w:lineRule="auto"/>
    </w:pPr>
    <w:rPr>
      <w:rFonts w:ascii="Arial" w:eastAsia="Times New Roman" w:hAnsi="Arial" w:cs="Times New Roman"/>
      <w:color w:val="595959" w:themeColor="text1" w:themeTint="A6"/>
      <w:sz w:val="22"/>
    </w:rPr>
  </w:style>
  <w:style w:type="paragraph" w:styleId="Heading1">
    <w:name w:val="heading 1"/>
    <w:basedOn w:val="Normal"/>
    <w:next w:val="Normal"/>
    <w:link w:val="Heading1Char"/>
    <w:qFormat/>
    <w:rsid w:val="00DD196D"/>
    <w:pPr>
      <w:keepNext/>
      <w:keepLines/>
      <w:spacing w:before="240"/>
      <w:outlineLvl w:val="0"/>
    </w:pPr>
    <w:rPr>
      <w:rFonts w:ascii="Exo 2 Semi" w:eastAsiaTheme="majorEastAsia" w:hAnsi="Exo 2 Semi" w:cstheme="majorBidi"/>
      <w:b/>
      <w:color w:val="12403F"/>
      <w:sz w:val="32"/>
      <w:szCs w:val="32"/>
    </w:rPr>
  </w:style>
  <w:style w:type="paragraph" w:styleId="Heading2">
    <w:name w:val="heading 2"/>
    <w:basedOn w:val="Normal"/>
    <w:next w:val="Normal"/>
    <w:link w:val="Heading2Char"/>
    <w:unhideWhenUsed/>
    <w:qFormat/>
    <w:rsid w:val="00DD196D"/>
    <w:pPr>
      <w:keepNext/>
      <w:keepLines/>
      <w:spacing w:before="40"/>
      <w:outlineLvl w:val="1"/>
    </w:pPr>
    <w:rPr>
      <w:rFonts w:ascii="Exo 2 Semi" w:eastAsiaTheme="majorEastAsia" w:hAnsi="Exo 2 Semi" w:cstheme="majorBidi"/>
      <w:b/>
      <w:color w:val="12403F"/>
      <w:sz w:val="28"/>
      <w:szCs w:val="26"/>
    </w:rPr>
  </w:style>
  <w:style w:type="paragraph" w:styleId="Heading3">
    <w:name w:val="heading 3"/>
    <w:basedOn w:val="Normal"/>
    <w:next w:val="Normal"/>
    <w:link w:val="Heading3Char"/>
    <w:unhideWhenUsed/>
    <w:qFormat/>
    <w:rsid w:val="00DD196D"/>
    <w:pPr>
      <w:keepNext/>
      <w:keepLines/>
      <w:spacing w:before="40"/>
      <w:outlineLvl w:val="2"/>
    </w:pPr>
    <w:rPr>
      <w:rFonts w:ascii="Exo 2 Semi" w:eastAsiaTheme="majorEastAsia" w:hAnsi="Exo 2 Semi" w:cstheme="majorBidi"/>
      <w:b/>
      <w:color w:val="12403F"/>
    </w:rPr>
  </w:style>
  <w:style w:type="paragraph" w:styleId="Heading4">
    <w:name w:val="heading 4"/>
    <w:basedOn w:val="Normal"/>
    <w:next w:val="Normal"/>
    <w:link w:val="Heading4Char"/>
    <w:qFormat/>
    <w:rsid w:val="00FD1F1E"/>
    <w:pPr>
      <w:tabs>
        <w:tab w:val="left" w:pos="1440"/>
        <w:tab w:val="num" w:pos="1723"/>
      </w:tabs>
      <w:overflowPunct w:val="0"/>
      <w:autoSpaceDE w:val="0"/>
      <w:autoSpaceDN w:val="0"/>
      <w:adjustRightInd w:val="0"/>
      <w:spacing w:before="120" w:after="120" w:line="240" w:lineRule="auto"/>
      <w:ind w:left="1723" w:hanging="720"/>
      <w:jc w:val="both"/>
      <w:textAlignment w:val="baseline"/>
      <w:outlineLvl w:val="3"/>
    </w:pPr>
    <w:rPr>
      <w:rFonts w:cs="Arial"/>
      <w:color w:val="auto"/>
      <w:sz w:val="20"/>
      <w:szCs w:val="20"/>
      <w:lang w:eastAsia="en-US"/>
    </w:rPr>
  </w:style>
  <w:style w:type="paragraph" w:styleId="Heading5">
    <w:name w:val="heading 5"/>
    <w:basedOn w:val="Normal"/>
    <w:next w:val="Normal"/>
    <w:link w:val="Heading5Char"/>
    <w:qFormat/>
    <w:rsid w:val="00FD1F1E"/>
    <w:pPr>
      <w:tabs>
        <w:tab w:val="left" w:pos="2160"/>
        <w:tab w:val="num" w:pos="2443"/>
      </w:tabs>
      <w:overflowPunct w:val="0"/>
      <w:autoSpaceDE w:val="0"/>
      <w:autoSpaceDN w:val="0"/>
      <w:adjustRightInd w:val="0"/>
      <w:spacing w:before="120" w:after="120" w:line="240" w:lineRule="auto"/>
      <w:ind w:left="2443" w:hanging="720"/>
      <w:jc w:val="both"/>
      <w:textAlignment w:val="baseline"/>
      <w:outlineLvl w:val="4"/>
    </w:pPr>
    <w:rPr>
      <w:rFonts w:cs="Arial"/>
      <w:color w:val="auto"/>
      <w:sz w:val="20"/>
      <w:szCs w:val="20"/>
      <w:lang w:eastAsia="en-US"/>
    </w:rPr>
  </w:style>
  <w:style w:type="paragraph" w:styleId="Heading6">
    <w:name w:val="heading 6"/>
    <w:basedOn w:val="Normal"/>
    <w:next w:val="Normal"/>
    <w:link w:val="Heading6Char"/>
    <w:qFormat/>
    <w:rsid w:val="00FD1F1E"/>
    <w:pPr>
      <w:tabs>
        <w:tab w:val="left" w:pos="2880"/>
        <w:tab w:val="num" w:pos="3163"/>
      </w:tabs>
      <w:overflowPunct w:val="0"/>
      <w:autoSpaceDE w:val="0"/>
      <w:autoSpaceDN w:val="0"/>
      <w:adjustRightInd w:val="0"/>
      <w:spacing w:before="120" w:after="120" w:line="240" w:lineRule="auto"/>
      <w:ind w:left="3163" w:hanging="719"/>
      <w:jc w:val="both"/>
      <w:textAlignment w:val="baseline"/>
      <w:outlineLvl w:val="5"/>
    </w:pPr>
    <w:rPr>
      <w:rFonts w:cs="Arial"/>
      <w:color w:val="auto"/>
      <w:sz w:val="20"/>
      <w:szCs w:val="20"/>
      <w:lang w:eastAsia="en-US"/>
    </w:rPr>
  </w:style>
  <w:style w:type="paragraph" w:styleId="Heading7">
    <w:name w:val="heading 7"/>
    <w:basedOn w:val="Normal"/>
    <w:next w:val="Normal"/>
    <w:link w:val="Heading7Char"/>
    <w:qFormat/>
    <w:rsid w:val="00FD1F1E"/>
    <w:pPr>
      <w:tabs>
        <w:tab w:val="num" w:pos="283"/>
      </w:tabs>
      <w:overflowPunct w:val="0"/>
      <w:autoSpaceDE w:val="0"/>
      <w:autoSpaceDN w:val="0"/>
      <w:adjustRightInd w:val="0"/>
      <w:spacing w:before="240" w:after="60" w:line="240" w:lineRule="auto"/>
      <w:ind w:left="4579" w:hanging="708"/>
      <w:jc w:val="both"/>
      <w:textAlignment w:val="baseline"/>
      <w:outlineLvl w:val="6"/>
    </w:pPr>
    <w:rPr>
      <w:rFonts w:cs="Arial"/>
      <w:color w:val="auto"/>
      <w:sz w:val="20"/>
      <w:szCs w:val="20"/>
      <w:lang w:eastAsia="en-US"/>
    </w:rPr>
  </w:style>
  <w:style w:type="paragraph" w:styleId="Heading8">
    <w:name w:val="heading 8"/>
    <w:basedOn w:val="Normal"/>
    <w:next w:val="Normal"/>
    <w:link w:val="Heading8Char"/>
    <w:qFormat/>
    <w:rsid w:val="00FD1F1E"/>
    <w:pPr>
      <w:tabs>
        <w:tab w:val="num" w:pos="283"/>
      </w:tabs>
      <w:overflowPunct w:val="0"/>
      <w:autoSpaceDE w:val="0"/>
      <w:autoSpaceDN w:val="0"/>
      <w:adjustRightInd w:val="0"/>
      <w:spacing w:before="240" w:after="60" w:line="240" w:lineRule="auto"/>
      <w:ind w:left="5287" w:hanging="708"/>
      <w:jc w:val="both"/>
      <w:textAlignment w:val="baseline"/>
      <w:outlineLvl w:val="7"/>
    </w:pPr>
    <w:rPr>
      <w:rFonts w:cs="Arial"/>
      <w:i/>
      <w:color w:val="auto"/>
      <w:sz w:val="20"/>
      <w:szCs w:val="20"/>
      <w:lang w:eastAsia="en-US"/>
    </w:rPr>
  </w:style>
  <w:style w:type="paragraph" w:styleId="Heading9">
    <w:name w:val="heading 9"/>
    <w:basedOn w:val="Normal"/>
    <w:next w:val="Normal"/>
    <w:link w:val="Heading9Char"/>
    <w:qFormat/>
    <w:rsid w:val="00FD1F1E"/>
    <w:pPr>
      <w:tabs>
        <w:tab w:val="num" w:pos="283"/>
      </w:tabs>
      <w:overflowPunct w:val="0"/>
      <w:autoSpaceDE w:val="0"/>
      <w:autoSpaceDN w:val="0"/>
      <w:adjustRightInd w:val="0"/>
      <w:spacing w:before="240" w:after="60" w:line="240" w:lineRule="auto"/>
      <w:ind w:left="5995" w:hanging="708"/>
      <w:jc w:val="both"/>
      <w:textAlignment w:val="baseline"/>
      <w:outlineLvl w:val="8"/>
    </w:pPr>
    <w:rPr>
      <w:rFonts w:cs="Arial"/>
      <w:b/>
      <w:i/>
      <w:color w:val="auto"/>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ection">
    <w:name w:val="Heading Section"/>
    <w:next w:val="Normal"/>
    <w:link w:val="HeadingSectionChar"/>
    <w:qFormat/>
    <w:rsid w:val="00A775F3"/>
    <w:pPr>
      <w:pageBreakBefore/>
      <w:pBdr>
        <w:bottom w:val="single" w:sz="18" w:space="2" w:color="00A79D"/>
      </w:pBdr>
      <w:spacing w:after="440"/>
      <w:outlineLvl w:val="0"/>
    </w:pPr>
    <w:rPr>
      <w:rFonts w:ascii="Arial" w:eastAsia="Times New Roman" w:hAnsi="Arial" w:cs="Times New Roman"/>
      <w:b/>
      <w:color w:val="12403F"/>
      <w:sz w:val="40"/>
      <w:lang w:eastAsia="en-US"/>
    </w:rPr>
  </w:style>
  <w:style w:type="character" w:styleId="Hashtag">
    <w:name w:val="Hashtag"/>
    <w:basedOn w:val="DefaultParagraphFont"/>
    <w:uiPriority w:val="99"/>
    <w:rsid w:val="00A850C7"/>
    <w:rPr>
      <w:rFonts w:asciiTheme="minorBidi" w:hAnsiTheme="minorBidi"/>
      <w:color w:val="595959" w:themeColor="text1" w:themeTint="A6"/>
      <w:sz w:val="22"/>
      <w:shd w:val="clear" w:color="auto" w:fill="E1DFDD"/>
    </w:rPr>
  </w:style>
  <w:style w:type="character" w:styleId="IntenseReference">
    <w:name w:val="Intense Reference"/>
    <w:basedOn w:val="DefaultParagraphFont"/>
    <w:uiPriority w:val="32"/>
    <w:qFormat/>
    <w:rsid w:val="00A850C7"/>
    <w:rPr>
      <w:rFonts w:asciiTheme="minorBidi" w:hAnsiTheme="minorBidi"/>
      <w:b/>
      <w:bCs/>
      <w:smallCaps/>
      <w:color w:val="595959" w:themeColor="text1" w:themeTint="A6"/>
      <w:spacing w:val="5"/>
      <w:sz w:val="22"/>
    </w:rPr>
  </w:style>
  <w:style w:type="character" w:customStyle="1" w:styleId="HeadingSectionChar">
    <w:name w:val="Heading Section Char"/>
    <w:basedOn w:val="DefaultParagraphFont"/>
    <w:link w:val="HeadingSection"/>
    <w:rsid w:val="00A775F3"/>
    <w:rPr>
      <w:rFonts w:ascii="Arial" w:eastAsia="Times New Roman" w:hAnsi="Arial" w:cs="Times New Roman"/>
      <w:b/>
      <w:color w:val="12403F"/>
      <w:sz w:val="40"/>
      <w:lang w:eastAsia="en-US"/>
    </w:rPr>
  </w:style>
  <w:style w:type="paragraph" w:customStyle="1" w:styleId="TableWhiteText">
    <w:name w:val="Table White Text"/>
    <w:basedOn w:val="Normal"/>
    <w:rsid w:val="004841CB"/>
    <w:pPr>
      <w:spacing w:before="60" w:after="60"/>
    </w:pPr>
    <w:rPr>
      <w:color w:val="FFFFFF" w:themeColor="background1"/>
    </w:rPr>
  </w:style>
  <w:style w:type="character" w:customStyle="1" w:styleId="Heading1Char">
    <w:name w:val="Heading 1 Char"/>
    <w:basedOn w:val="DefaultParagraphFont"/>
    <w:link w:val="Heading1"/>
    <w:uiPriority w:val="9"/>
    <w:rsid w:val="00DD196D"/>
    <w:rPr>
      <w:rFonts w:ascii="Exo 2 Semi" w:eastAsiaTheme="majorEastAsia" w:hAnsi="Exo 2 Semi" w:cstheme="majorBidi"/>
      <w:b/>
      <w:color w:val="12403F"/>
      <w:sz w:val="32"/>
      <w:szCs w:val="32"/>
    </w:rPr>
  </w:style>
  <w:style w:type="paragraph" w:styleId="IntenseQuote">
    <w:name w:val="Intense Quote"/>
    <w:basedOn w:val="Normal"/>
    <w:next w:val="Normal"/>
    <w:link w:val="IntenseQuoteChar"/>
    <w:uiPriority w:val="30"/>
    <w:qFormat/>
    <w:rsid w:val="00A850C7"/>
    <w:pPr>
      <w:pBdr>
        <w:top w:val="single" w:sz="4" w:space="10" w:color="4472C4" w:themeColor="accent1"/>
        <w:bottom w:val="single" w:sz="4" w:space="10" w:color="4472C4" w:themeColor="accent1"/>
      </w:pBdr>
      <w:spacing w:before="360" w:after="360"/>
      <w:ind w:left="862" w:right="862"/>
      <w:jc w:val="center"/>
    </w:pPr>
    <w:rPr>
      <w:b/>
      <w:iCs/>
      <w:color w:val="12403F"/>
    </w:rPr>
  </w:style>
  <w:style w:type="character" w:customStyle="1" w:styleId="IntenseQuoteChar">
    <w:name w:val="Intense Quote Char"/>
    <w:basedOn w:val="DefaultParagraphFont"/>
    <w:link w:val="IntenseQuote"/>
    <w:uiPriority w:val="30"/>
    <w:rsid w:val="00A850C7"/>
    <w:rPr>
      <w:rFonts w:ascii="Arial" w:eastAsia="Times New Roman" w:hAnsi="Arial" w:cs="Times New Roman"/>
      <w:b/>
      <w:iCs/>
      <w:color w:val="12403F"/>
      <w:sz w:val="22"/>
      <w:szCs w:val="20"/>
      <w:lang w:eastAsia="en-GB"/>
    </w:rPr>
  </w:style>
  <w:style w:type="character" w:customStyle="1" w:styleId="Heading2Char">
    <w:name w:val="Heading 2 Char"/>
    <w:basedOn w:val="DefaultParagraphFont"/>
    <w:link w:val="Heading2"/>
    <w:uiPriority w:val="9"/>
    <w:rsid w:val="00DD196D"/>
    <w:rPr>
      <w:rFonts w:ascii="Exo 2 Semi" w:eastAsiaTheme="majorEastAsia" w:hAnsi="Exo 2 Semi" w:cstheme="majorBidi"/>
      <w:b/>
      <w:color w:val="12403F"/>
      <w:sz w:val="28"/>
      <w:szCs w:val="26"/>
    </w:rPr>
  </w:style>
  <w:style w:type="character" w:customStyle="1" w:styleId="Heading3Char">
    <w:name w:val="Heading 3 Char"/>
    <w:basedOn w:val="DefaultParagraphFont"/>
    <w:link w:val="Heading3"/>
    <w:uiPriority w:val="9"/>
    <w:rsid w:val="00DD196D"/>
    <w:rPr>
      <w:rFonts w:ascii="Exo 2 Semi" w:eastAsiaTheme="majorEastAsia" w:hAnsi="Exo 2 Semi" w:cstheme="majorBidi"/>
      <w:b/>
      <w:color w:val="12403F"/>
    </w:rPr>
  </w:style>
  <w:style w:type="paragraph" w:customStyle="1" w:styleId="TableText">
    <w:name w:val="Table Text"/>
    <w:basedOn w:val="Normal"/>
    <w:rsid w:val="00B015B3"/>
    <w:rPr>
      <w:color w:val="12403F"/>
      <w:sz w:val="20"/>
      <w:lang w:eastAsia="en-US"/>
    </w:rPr>
  </w:style>
  <w:style w:type="character" w:styleId="Hyperlink">
    <w:name w:val="Hyperlink"/>
    <w:basedOn w:val="DefaultParagraphFont"/>
    <w:uiPriority w:val="99"/>
    <w:rsid w:val="00DD196D"/>
    <w:rPr>
      <w:rFonts w:ascii="Exo 2" w:hAnsi="Exo 2"/>
      <w:b w:val="0"/>
      <w:i w:val="0"/>
      <w:color w:val="00A79D"/>
      <w:u w:val="single"/>
    </w:rPr>
  </w:style>
  <w:style w:type="paragraph" w:styleId="TOC1">
    <w:name w:val="toc 1"/>
    <w:basedOn w:val="Normal"/>
    <w:next w:val="Normal"/>
    <w:autoRedefine/>
    <w:uiPriority w:val="39"/>
    <w:unhideWhenUsed/>
    <w:rsid w:val="00A775F3"/>
    <w:pPr>
      <w:tabs>
        <w:tab w:val="right" w:leader="dot" w:pos="8777"/>
      </w:tabs>
      <w:spacing w:before="360"/>
    </w:pPr>
    <w:rPr>
      <w:rFonts w:eastAsiaTheme="majorEastAsia" w:cstheme="minorHAnsi"/>
      <w:bCs/>
      <w:iCs/>
      <w:noProof/>
      <w:color w:val="12403F"/>
      <w:szCs w:val="28"/>
    </w:rPr>
  </w:style>
  <w:style w:type="paragraph" w:styleId="TOCHeading">
    <w:name w:val="TOC Heading"/>
    <w:basedOn w:val="Heading1"/>
    <w:next w:val="Normal"/>
    <w:uiPriority w:val="39"/>
    <w:unhideWhenUsed/>
    <w:qFormat/>
    <w:rsid w:val="00786CA8"/>
    <w:pPr>
      <w:spacing w:before="480"/>
      <w:outlineLvl w:val="9"/>
    </w:pPr>
    <w:rPr>
      <w:rFonts w:asciiTheme="majorHAnsi" w:hAnsiTheme="majorHAnsi"/>
      <w:bCs/>
      <w:color w:val="2F5496" w:themeColor="accent1" w:themeShade="BF"/>
      <w:sz w:val="28"/>
      <w:szCs w:val="28"/>
      <w:lang w:val="en-US" w:eastAsia="en-US"/>
    </w:rPr>
  </w:style>
  <w:style w:type="paragraph" w:styleId="TOC4">
    <w:name w:val="toc 4"/>
    <w:basedOn w:val="Normal"/>
    <w:next w:val="Normal"/>
    <w:autoRedefine/>
    <w:uiPriority w:val="39"/>
    <w:semiHidden/>
    <w:unhideWhenUsed/>
    <w:rsid w:val="00786CA8"/>
    <w:pPr>
      <w:ind w:left="660"/>
    </w:pPr>
    <w:rPr>
      <w:rFonts w:asciiTheme="minorHAnsi" w:hAnsiTheme="minorHAnsi" w:cstheme="minorHAnsi"/>
      <w:sz w:val="20"/>
    </w:rPr>
  </w:style>
  <w:style w:type="paragraph" w:styleId="TOC2">
    <w:name w:val="toc 2"/>
    <w:basedOn w:val="Normal"/>
    <w:next w:val="Normal"/>
    <w:uiPriority w:val="39"/>
    <w:rsid w:val="0062420D"/>
    <w:pPr>
      <w:spacing w:before="120"/>
      <w:ind w:left="220"/>
    </w:pPr>
    <w:rPr>
      <w:rFonts w:asciiTheme="minorBidi" w:hAnsiTheme="minorBidi" w:cstheme="minorHAnsi"/>
      <w:bCs/>
      <w:szCs w:val="26"/>
    </w:rPr>
  </w:style>
  <w:style w:type="paragraph" w:styleId="TOC3">
    <w:name w:val="toc 3"/>
    <w:basedOn w:val="Normal"/>
    <w:next w:val="Normal"/>
    <w:autoRedefine/>
    <w:uiPriority w:val="39"/>
    <w:rsid w:val="006368B9"/>
    <w:pPr>
      <w:ind w:left="440"/>
    </w:pPr>
    <w:rPr>
      <w:rFonts w:asciiTheme="minorHAnsi" w:hAnsiTheme="minorHAnsi" w:cstheme="minorHAnsi"/>
      <w:sz w:val="20"/>
    </w:rPr>
  </w:style>
  <w:style w:type="table" w:customStyle="1" w:styleId="TableGridLight2">
    <w:name w:val="Table Grid Light2"/>
    <w:basedOn w:val="TableNormal"/>
    <w:uiPriority w:val="40"/>
    <w:rsid w:val="006368B9"/>
    <w:rPr>
      <w:rFonts w:ascii="Times New Roman" w:eastAsia="Times New Roman" w:hAnsi="Times New Roman"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5">
    <w:name w:val="toc 5"/>
    <w:basedOn w:val="Normal"/>
    <w:next w:val="Normal"/>
    <w:autoRedefine/>
    <w:uiPriority w:val="39"/>
    <w:semiHidden/>
    <w:unhideWhenUsed/>
    <w:rsid w:val="00786CA8"/>
    <w:pPr>
      <w:ind w:left="880"/>
    </w:pPr>
    <w:rPr>
      <w:rFonts w:asciiTheme="minorHAnsi" w:hAnsiTheme="minorHAnsi" w:cstheme="minorHAnsi"/>
      <w:sz w:val="20"/>
    </w:rPr>
  </w:style>
  <w:style w:type="paragraph" w:styleId="Footer">
    <w:name w:val="footer"/>
    <w:basedOn w:val="Normal"/>
    <w:link w:val="FooterChar"/>
    <w:uiPriority w:val="99"/>
    <w:unhideWhenUsed/>
    <w:rsid w:val="006368B9"/>
    <w:pPr>
      <w:tabs>
        <w:tab w:val="center" w:pos="4513"/>
        <w:tab w:val="right" w:pos="9026"/>
      </w:tabs>
    </w:pPr>
  </w:style>
  <w:style w:type="character" w:customStyle="1" w:styleId="FooterChar">
    <w:name w:val="Footer Char"/>
    <w:basedOn w:val="DefaultParagraphFont"/>
    <w:link w:val="Footer"/>
    <w:uiPriority w:val="99"/>
    <w:rsid w:val="006368B9"/>
    <w:rPr>
      <w:rFonts w:ascii="Arial" w:eastAsia="Times New Roman" w:hAnsi="Arial" w:cs="Times New Roman"/>
      <w:sz w:val="20"/>
      <w:szCs w:val="20"/>
      <w:lang w:eastAsia="en-GB"/>
    </w:rPr>
  </w:style>
  <w:style w:type="paragraph" w:styleId="Title">
    <w:name w:val="Title"/>
    <w:basedOn w:val="Normal"/>
    <w:next w:val="Normal"/>
    <w:link w:val="TitleChar"/>
    <w:uiPriority w:val="10"/>
    <w:qFormat/>
    <w:rsid w:val="00DD196D"/>
    <w:pPr>
      <w:contextualSpacing/>
    </w:pPr>
    <w:rPr>
      <w:rFonts w:eastAsiaTheme="majorEastAsia" w:cstheme="majorBidi"/>
      <w:b/>
      <w:color w:val="12403F"/>
      <w:spacing w:val="-10"/>
      <w:kern w:val="28"/>
      <w:sz w:val="56"/>
      <w:szCs w:val="56"/>
    </w:rPr>
  </w:style>
  <w:style w:type="character" w:customStyle="1" w:styleId="TitleChar">
    <w:name w:val="Title Char"/>
    <w:basedOn w:val="DefaultParagraphFont"/>
    <w:link w:val="Title"/>
    <w:uiPriority w:val="10"/>
    <w:rsid w:val="00DD196D"/>
    <w:rPr>
      <w:rFonts w:ascii="Exo 2" w:eastAsiaTheme="majorEastAsia" w:hAnsi="Exo 2" w:cstheme="majorBidi"/>
      <w:b/>
      <w:color w:val="12403F"/>
      <w:spacing w:val="-10"/>
      <w:kern w:val="28"/>
      <w:sz w:val="56"/>
      <w:szCs w:val="56"/>
    </w:rPr>
  </w:style>
  <w:style w:type="paragraph" w:styleId="Subtitle">
    <w:name w:val="Subtitle"/>
    <w:aliases w:val="Document Title"/>
    <w:basedOn w:val="Normal"/>
    <w:next w:val="Normal"/>
    <w:link w:val="SubtitleChar"/>
    <w:uiPriority w:val="11"/>
    <w:qFormat/>
    <w:rsid w:val="00A775F3"/>
    <w:pPr>
      <w:numPr>
        <w:ilvl w:val="1"/>
      </w:numPr>
    </w:pPr>
    <w:rPr>
      <w:rFonts w:eastAsiaTheme="minorEastAsia" w:cstheme="minorBidi"/>
      <w:color w:val="12403F"/>
      <w:spacing w:val="15"/>
      <w:sz w:val="48"/>
      <w:szCs w:val="22"/>
    </w:rPr>
  </w:style>
  <w:style w:type="character" w:customStyle="1" w:styleId="SubtitleChar">
    <w:name w:val="Subtitle Char"/>
    <w:aliases w:val="Document Title Char"/>
    <w:basedOn w:val="DefaultParagraphFont"/>
    <w:link w:val="Subtitle"/>
    <w:uiPriority w:val="11"/>
    <w:rsid w:val="00A775F3"/>
    <w:rPr>
      <w:rFonts w:ascii="Arial" w:hAnsi="Arial"/>
      <w:color w:val="12403F"/>
      <w:spacing w:val="15"/>
      <w:sz w:val="48"/>
      <w:szCs w:val="22"/>
    </w:rPr>
  </w:style>
  <w:style w:type="paragraph" w:styleId="TOC6">
    <w:name w:val="toc 6"/>
    <w:basedOn w:val="Normal"/>
    <w:next w:val="Normal"/>
    <w:autoRedefine/>
    <w:uiPriority w:val="39"/>
    <w:semiHidden/>
    <w:unhideWhenUsed/>
    <w:rsid w:val="00786CA8"/>
    <w:pPr>
      <w:ind w:left="1100"/>
    </w:pPr>
    <w:rPr>
      <w:rFonts w:asciiTheme="minorHAnsi" w:hAnsiTheme="minorHAnsi" w:cstheme="minorHAnsi"/>
      <w:sz w:val="20"/>
    </w:rPr>
  </w:style>
  <w:style w:type="paragraph" w:styleId="TOC7">
    <w:name w:val="toc 7"/>
    <w:basedOn w:val="Normal"/>
    <w:next w:val="Normal"/>
    <w:autoRedefine/>
    <w:uiPriority w:val="39"/>
    <w:semiHidden/>
    <w:unhideWhenUsed/>
    <w:rsid w:val="00786CA8"/>
    <w:pPr>
      <w:ind w:left="1320"/>
    </w:pPr>
    <w:rPr>
      <w:rFonts w:asciiTheme="minorHAnsi" w:hAnsiTheme="minorHAnsi" w:cstheme="minorHAnsi"/>
      <w:sz w:val="20"/>
    </w:rPr>
  </w:style>
  <w:style w:type="paragraph" w:styleId="TOC8">
    <w:name w:val="toc 8"/>
    <w:basedOn w:val="Normal"/>
    <w:next w:val="Normal"/>
    <w:autoRedefine/>
    <w:uiPriority w:val="39"/>
    <w:semiHidden/>
    <w:unhideWhenUsed/>
    <w:rsid w:val="00786CA8"/>
    <w:pPr>
      <w:ind w:left="1540"/>
    </w:pPr>
    <w:rPr>
      <w:rFonts w:asciiTheme="minorHAnsi" w:hAnsiTheme="minorHAnsi" w:cstheme="minorHAnsi"/>
      <w:sz w:val="20"/>
    </w:rPr>
  </w:style>
  <w:style w:type="paragraph" w:styleId="TOC9">
    <w:name w:val="toc 9"/>
    <w:basedOn w:val="Normal"/>
    <w:next w:val="Normal"/>
    <w:autoRedefine/>
    <w:uiPriority w:val="39"/>
    <w:semiHidden/>
    <w:unhideWhenUsed/>
    <w:rsid w:val="00786CA8"/>
    <w:pPr>
      <w:ind w:left="1760"/>
    </w:pPr>
    <w:rPr>
      <w:rFonts w:asciiTheme="minorHAnsi" w:hAnsiTheme="minorHAnsi" w:cstheme="minorHAnsi"/>
      <w:sz w:val="20"/>
    </w:rPr>
  </w:style>
  <w:style w:type="paragraph" w:customStyle="1" w:styleId="IntroPara">
    <w:name w:val="Intro Para"/>
    <w:basedOn w:val="Normal"/>
    <w:rsid w:val="00A775F3"/>
    <w:rPr>
      <w:b/>
      <w:bCs/>
      <w:color w:val="00A79D"/>
      <w:szCs w:val="26"/>
    </w:rPr>
  </w:style>
  <w:style w:type="paragraph" w:styleId="Header">
    <w:name w:val="header"/>
    <w:basedOn w:val="Normal"/>
    <w:link w:val="HeaderChar"/>
    <w:uiPriority w:val="99"/>
    <w:unhideWhenUsed/>
    <w:rsid w:val="00E61775"/>
    <w:pPr>
      <w:tabs>
        <w:tab w:val="center" w:pos="4513"/>
        <w:tab w:val="right" w:pos="9026"/>
      </w:tabs>
    </w:pPr>
  </w:style>
  <w:style w:type="character" w:customStyle="1" w:styleId="HeaderChar">
    <w:name w:val="Header Char"/>
    <w:basedOn w:val="DefaultParagraphFont"/>
    <w:link w:val="Header"/>
    <w:uiPriority w:val="99"/>
    <w:rsid w:val="00E61775"/>
    <w:rPr>
      <w:rFonts w:ascii="Arial" w:eastAsia="Times New Roman" w:hAnsi="Arial" w:cs="Times New Roman"/>
      <w:color w:val="595959" w:themeColor="text1" w:themeTint="A6"/>
      <w:sz w:val="22"/>
      <w:szCs w:val="20"/>
      <w:lang w:eastAsia="en-GB"/>
    </w:rPr>
  </w:style>
  <w:style w:type="paragraph" w:customStyle="1" w:styleId="StraplineunderHeading1">
    <w:name w:val="Strapline under Heading 1"/>
    <w:basedOn w:val="Normal"/>
    <w:rsid w:val="00CC5374"/>
    <w:rPr>
      <w:b/>
      <w:color w:val="00A79D"/>
      <w:lang w:eastAsia="en-US"/>
    </w:rPr>
  </w:style>
  <w:style w:type="paragraph" w:customStyle="1" w:styleId="HeadingnotinTOC">
    <w:name w:val="Heading not in TOC"/>
    <w:basedOn w:val="Normal"/>
    <w:rsid w:val="00A775F3"/>
    <w:pPr>
      <w:spacing w:before="240"/>
    </w:pPr>
    <w:rPr>
      <w:bCs/>
      <w:color w:val="00A79D"/>
      <w:sz w:val="32"/>
      <w:szCs w:val="32"/>
      <w:lang w:eastAsia="en-US"/>
    </w:rPr>
  </w:style>
  <w:style w:type="paragraph" w:styleId="ListParagraph">
    <w:name w:val="List Paragraph"/>
    <w:aliases w:val="No Spacing - Calibri,No Spacing - Segoe"/>
    <w:basedOn w:val="Normal"/>
    <w:link w:val="ListParagraphChar"/>
    <w:uiPriority w:val="34"/>
    <w:qFormat/>
    <w:rsid w:val="00CC5374"/>
    <w:pPr>
      <w:ind w:left="720"/>
      <w:contextualSpacing/>
    </w:pPr>
  </w:style>
  <w:style w:type="paragraph" w:customStyle="1" w:styleId="NormalBold">
    <w:name w:val="Normal Bold"/>
    <w:basedOn w:val="Normal"/>
    <w:rsid w:val="00A775F3"/>
    <w:rPr>
      <w:b/>
      <w:bCs/>
      <w:lang w:eastAsia="en-US"/>
    </w:rPr>
  </w:style>
  <w:style w:type="table" w:styleId="TableGrid">
    <w:name w:val="Table Grid"/>
    <w:basedOn w:val="TableNormal"/>
    <w:uiPriority w:val="39"/>
    <w:rsid w:val="00D75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1722DC"/>
    <w:pPr>
      <w:spacing w:before="180"/>
    </w:pPr>
    <w:rPr>
      <w:rFonts w:ascii="Verdana" w:eastAsia="Calibri" w:hAnsi="Verdana"/>
      <w:sz w:val="18"/>
      <w:szCs w:val="22"/>
      <w:lang w:eastAsia="en-US"/>
    </w:rPr>
  </w:style>
  <w:style w:type="character" w:customStyle="1" w:styleId="BodyTextChar">
    <w:name w:val="Body Text Char"/>
    <w:basedOn w:val="DefaultParagraphFont"/>
    <w:link w:val="BodyText"/>
    <w:uiPriority w:val="99"/>
    <w:rsid w:val="001722DC"/>
    <w:rPr>
      <w:rFonts w:ascii="Verdana" w:eastAsia="Calibri" w:hAnsi="Verdana" w:cs="Times New Roman"/>
      <w:sz w:val="18"/>
      <w:szCs w:val="22"/>
      <w:lang w:eastAsia="en-US"/>
    </w:rPr>
  </w:style>
  <w:style w:type="paragraph" w:customStyle="1" w:styleId="WirelessLogicBodyText">
    <w:name w:val="WirelessLogic Body Text"/>
    <w:basedOn w:val="Normal"/>
    <w:uiPriority w:val="99"/>
    <w:qFormat/>
    <w:rsid w:val="001722DC"/>
    <w:pPr>
      <w:widowControl w:val="0"/>
      <w:tabs>
        <w:tab w:val="left" w:pos="567"/>
        <w:tab w:val="right" w:pos="10740"/>
      </w:tabs>
      <w:suppressAutoHyphens/>
      <w:autoSpaceDE w:val="0"/>
      <w:autoSpaceDN w:val="0"/>
      <w:adjustRightInd w:val="0"/>
      <w:spacing w:after="100" w:line="250" w:lineRule="atLeast"/>
      <w:textAlignment w:val="center"/>
    </w:pPr>
    <w:rPr>
      <w:rFonts w:ascii="Sansation Light" w:eastAsiaTheme="minorEastAsia" w:hAnsi="Sansation Light" w:cs="Sansation"/>
      <w:color w:val="000000"/>
      <w:sz w:val="18"/>
      <w:szCs w:val="18"/>
      <w:lang w:eastAsia="ja-JP"/>
    </w:rPr>
  </w:style>
  <w:style w:type="paragraph" w:customStyle="1" w:styleId="BullettedList">
    <w:name w:val="Bulletted List"/>
    <w:basedOn w:val="BodyText"/>
    <w:qFormat/>
    <w:rsid w:val="001722DC"/>
    <w:pPr>
      <w:numPr>
        <w:numId w:val="2"/>
      </w:numPr>
      <w:spacing w:before="120"/>
    </w:pPr>
  </w:style>
  <w:style w:type="numbering" w:customStyle="1" w:styleId="WL-Bullets">
    <w:name w:val="WL-Bullets"/>
    <w:uiPriority w:val="99"/>
    <w:rsid w:val="001722DC"/>
    <w:pPr>
      <w:numPr>
        <w:numId w:val="1"/>
      </w:numPr>
    </w:pPr>
  </w:style>
  <w:style w:type="paragraph" w:customStyle="1" w:styleId="BulletedList2">
    <w:name w:val="Bulleted List (2)"/>
    <w:basedOn w:val="BullettedList"/>
    <w:qFormat/>
    <w:rsid w:val="001722DC"/>
    <w:pPr>
      <w:numPr>
        <w:ilvl w:val="1"/>
      </w:numPr>
    </w:pPr>
    <w:rPr>
      <w:lang w:val="en-US"/>
    </w:rPr>
  </w:style>
  <w:style w:type="character" w:styleId="UnresolvedMention">
    <w:name w:val="Unresolved Mention"/>
    <w:basedOn w:val="DefaultParagraphFont"/>
    <w:uiPriority w:val="99"/>
    <w:rsid w:val="00CE3C33"/>
    <w:rPr>
      <w:color w:val="605E5C"/>
      <w:shd w:val="clear" w:color="auto" w:fill="E1DFDD"/>
    </w:rPr>
  </w:style>
  <w:style w:type="paragraph" w:styleId="NormalWeb">
    <w:name w:val="Normal (Web)"/>
    <w:basedOn w:val="Normal"/>
    <w:uiPriority w:val="99"/>
    <w:unhideWhenUsed/>
    <w:rsid w:val="000C037E"/>
    <w:pPr>
      <w:spacing w:before="100" w:beforeAutospacing="1" w:after="100" w:afterAutospacing="1"/>
    </w:pPr>
  </w:style>
  <w:style w:type="character" w:styleId="Strong">
    <w:name w:val="Strong"/>
    <w:basedOn w:val="DefaultParagraphFont"/>
    <w:uiPriority w:val="22"/>
    <w:qFormat/>
    <w:rsid w:val="00A775F3"/>
    <w:rPr>
      <w:rFonts w:ascii="Arial" w:hAnsi="Arial"/>
      <w:b/>
      <w:bCs/>
      <w:i w:val="0"/>
    </w:rPr>
  </w:style>
  <w:style w:type="paragraph" w:customStyle="1" w:styleId="TableTextWhite">
    <w:name w:val="Table Text White"/>
    <w:basedOn w:val="TableText"/>
    <w:qFormat/>
    <w:rsid w:val="00B015B3"/>
    <w:pPr>
      <w:framePr w:hSpace="180" w:wrap="around" w:vAnchor="text" w:hAnchor="text" w:y="1"/>
      <w:suppressOverlap/>
    </w:pPr>
    <w:rPr>
      <w:color w:val="FFFFFF" w:themeColor="background1"/>
    </w:rPr>
  </w:style>
  <w:style w:type="paragraph" w:styleId="BalloonText">
    <w:name w:val="Balloon Text"/>
    <w:basedOn w:val="Normal"/>
    <w:link w:val="BalloonTextChar"/>
    <w:uiPriority w:val="99"/>
    <w:semiHidden/>
    <w:unhideWhenUsed/>
    <w:rsid w:val="00F2673A"/>
    <w:pPr>
      <w:spacing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2673A"/>
    <w:rPr>
      <w:rFonts w:ascii="Times New Roman" w:eastAsia="Times New Roman" w:hAnsi="Times New Roman" w:cs="Times New Roman"/>
      <w:color w:val="595959" w:themeColor="text1" w:themeTint="A6"/>
      <w:sz w:val="18"/>
      <w:szCs w:val="18"/>
    </w:rPr>
  </w:style>
  <w:style w:type="paragraph" w:styleId="BodyText2">
    <w:name w:val="Body Text 2"/>
    <w:basedOn w:val="Normal"/>
    <w:link w:val="BodyText2Char"/>
    <w:uiPriority w:val="99"/>
    <w:unhideWhenUsed/>
    <w:rsid w:val="00FD1F1E"/>
    <w:pPr>
      <w:spacing w:after="120" w:line="480" w:lineRule="auto"/>
    </w:pPr>
  </w:style>
  <w:style w:type="character" w:customStyle="1" w:styleId="BodyText2Char">
    <w:name w:val="Body Text 2 Char"/>
    <w:basedOn w:val="DefaultParagraphFont"/>
    <w:link w:val="BodyText2"/>
    <w:uiPriority w:val="99"/>
    <w:rsid w:val="00FD1F1E"/>
    <w:rPr>
      <w:rFonts w:ascii="Arial" w:eastAsia="Times New Roman" w:hAnsi="Arial" w:cs="Times New Roman"/>
      <w:color w:val="595959" w:themeColor="text1" w:themeTint="A6"/>
      <w:sz w:val="22"/>
    </w:rPr>
  </w:style>
  <w:style w:type="character" w:customStyle="1" w:styleId="Heading4Char">
    <w:name w:val="Heading 4 Char"/>
    <w:basedOn w:val="DefaultParagraphFont"/>
    <w:link w:val="Heading4"/>
    <w:rsid w:val="00FD1F1E"/>
    <w:rPr>
      <w:rFonts w:ascii="Arial" w:eastAsia="Times New Roman" w:hAnsi="Arial" w:cs="Arial"/>
      <w:sz w:val="20"/>
      <w:szCs w:val="20"/>
      <w:lang w:eastAsia="en-US"/>
    </w:rPr>
  </w:style>
  <w:style w:type="character" w:customStyle="1" w:styleId="Heading5Char">
    <w:name w:val="Heading 5 Char"/>
    <w:basedOn w:val="DefaultParagraphFont"/>
    <w:link w:val="Heading5"/>
    <w:rsid w:val="00FD1F1E"/>
    <w:rPr>
      <w:rFonts w:ascii="Arial" w:eastAsia="Times New Roman" w:hAnsi="Arial" w:cs="Arial"/>
      <w:sz w:val="20"/>
      <w:szCs w:val="20"/>
      <w:lang w:eastAsia="en-US"/>
    </w:rPr>
  </w:style>
  <w:style w:type="character" w:customStyle="1" w:styleId="Heading6Char">
    <w:name w:val="Heading 6 Char"/>
    <w:basedOn w:val="DefaultParagraphFont"/>
    <w:link w:val="Heading6"/>
    <w:rsid w:val="00FD1F1E"/>
    <w:rPr>
      <w:rFonts w:ascii="Arial" w:eastAsia="Times New Roman" w:hAnsi="Arial" w:cs="Arial"/>
      <w:sz w:val="20"/>
      <w:szCs w:val="20"/>
      <w:lang w:eastAsia="en-US"/>
    </w:rPr>
  </w:style>
  <w:style w:type="character" w:customStyle="1" w:styleId="Heading7Char">
    <w:name w:val="Heading 7 Char"/>
    <w:basedOn w:val="DefaultParagraphFont"/>
    <w:link w:val="Heading7"/>
    <w:rsid w:val="00FD1F1E"/>
    <w:rPr>
      <w:rFonts w:ascii="Arial" w:eastAsia="Times New Roman" w:hAnsi="Arial" w:cs="Arial"/>
      <w:sz w:val="20"/>
      <w:szCs w:val="20"/>
      <w:lang w:eastAsia="en-US"/>
    </w:rPr>
  </w:style>
  <w:style w:type="character" w:customStyle="1" w:styleId="Heading8Char">
    <w:name w:val="Heading 8 Char"/>
    <w:basedOn w:val="DefaultParagraphFont"/>
    <w:link w:val="Heading8"/>
    <w:rsid w:val="00FD1F1E"/>
    <w:rPr>
      <w:rFonts w:ascii="Arial" w:eastAsia="Times New Roman" w:hAnsi="Arial" w:cs="Arial"/>
      <w:i/>
      <w:sz w:val="20"/>
      <w:szCs w:val="20"/>
      <w:lang w:eastAsia="en-US"/>
    </w:rPr>
  </w:style>
  <w:style w:type="character" w:customStyle="1" w:styleId="Heading9Char">
    <w:name w:val="Heading 9 Char"/>
    <w:basedOn w:val="DefaultParagraphFont"/>
    <w:link w:val="Heading9"/>
    <w:rsid w:val="00FD1F1E"/>
    <w:rPr>
      <w:rFonts w:ascii="Arial" w:eastAsia="Times New Roman" w:hAnsi="Arial" w:cs="Arial"/>
      <w:b/>
      <w:i/>
      <w:sz w:val="18"/>
      <w:szCs w:val="20"/>
      <w:lang w:eastAsia="en-US"/>
    </w:rPr>
  </w:style>
  <w:style w:type="paragraph" w:styleId="BodyText3">
    <w:name w:val="Body Text 3"/>
    <w:basedOn w:val="Normal"/>
    <w:link w:val="BodyText3Char"/>
    <w:uiPriority w:val="99"/>
    <w:semiHidden/>
    <w:unhideWhenUsed/>
    <w:rsid w:val="007B2E88"/>
    <w:pPr>
      <w:spacing w:after="120"/>
    </w:pPr>
    <w:rPr>
      <w:sz w:val="16"/>
      <w:szCs w:val="16"/>
    </w:rPr>
  </w:style>
  <w:style w:type="character" w:customStyle="1" w:styleId="BodyText3Char">
    <w:name w:val="Body Text 3 Char"/>
    <w:basedOn w:val="DefaultParagraphFont"/>
    <w:link w:val="BodyText3"/>
    <w:uiPriority w:val="99"/>
    <w:semiHidden/>
    <w:rsid w:val="007B2E88"/>
    <w:rPr>
      <w:rFonts w:ascii="Arial" w:eastAsia="Times New Roman" w:hAnsi="Arial" w:cs="Times New Roman"/>
      <w:color w:val="595959" w:themeColor="text1" w:themeTint="A6"/>
      <w:sz w:val="16"/>
      <w:szCs w:val="16"/>
    </w:rPr>
  </w:style>
  <w:style w:type="character" w:styleId="CommentReference">
    <w:name w:val="annotation reference"/>
    <w:semiHidden/>
    <w:rsid w:val="00EB7E39"/>
    <w:rPr>
      <w:rFonts w:ascii="Arial Black" w:hAnsi="Arial Black"/>
      <w:color w:val="FF0000"/>
      <w:sz w:val="20"/>
    </w:rPr>
  </w:style>
  <w:style w:type="paragraph" w:styleId="CommentText">
    <w:name w:val="annotation text"/>
    <w:basedOn w:val="Normal"/>
    <w:next w:val="BodyText"/>
    <w:link w:val="CommentTextChar"/>
    <w:uiPriority w:val="99"/>
    <w:semiHidden/>
    <w:rsid w:val="00EB7E39"/>
    <w:pPr>
      <w:overflowPunct w:val="0"/>
      <w:autoSpaceDE w:val="0"/>
      <w:autoSpaceDN w:val="0"/>
      <w:adjustRightInd w:val="0"/>
      <w:spacing w:before="120" w:after="120" w:line="240" w:lineRule="auto"/>
      <w:textAlignment w:val="baseline"/>
    </w:pPr>
    <w:rPr>
      <w:rFonts w:ascii="Arial Black" w:hAnsi="Arial Black" w:cs="Arial"/>
      <w:color w:val="FF0000"/>
      <w:sz w:val="20"/>
      <w:szCs w:val="20"/>
      <w:lang w:eastAsia="en-US"/>
    </w:rPr>
  </w:style>
  <w:style w:type="character" w:customStyle="1" w:styleId="CommentTextChar">
    <w:name w:val="Comment Text Char"/>
    <w:basedOn w:val="DefaultParagraphFont"/>
    <w:link w:val="CommentText"/>
    <w:uiPriority w:val="99"/>
    <w:semiHidden/>
    <w:rsid w:val="00EB7E39"/>
    <w:rPr>
      <w:rFonts w:ascii="Arial Black" w:eastAsia="Times New Roman" w:hAnsi="Arial Black" w:cs="Arial"/>
      <w:color w:val="FF0000"/>
      <w:sz w:val="20"/>
      <w:szCs w:val="20"/>
      <w:lang w:eastAsia="en-US"/>
    </w:rPr>
  </w:style>
  <w:style w:type="paragraph" w:customStyle="1" w:styleId="BodyText1">
    <w:name w:val="Body Text 1"/>
    <w:basedOn w:val="BodyText"/>
    <w:rsid w:val="00C577D6"/>
    <w:pPr>
      <w:overflowPunct w:val="0"/>
      <w:autoSpaceDE w:val="0"/>
      <w:autoSpaceDN w:val="0"/>
      <w:adjustRightInd w:val="0"/>
      <w:spacing w:before="120" w:after="120" w:line="240" w:lineRule="auto"/>
      <w:jc w:val="both"/>
      <w:textAlignment w:val="baseline"/>
    </w:pPr>
    <w:rPr>
      <w:rFonts w:ascii="Arial" w:eastAsia="Times New Roman" w:hAnsi="Arial" w:cs="Arial"/>
      <w:color w:val="auto"/>
      <w:sz w:val="20"/>
      <w:szCs w:val="20"/>
    </w:rPr>
  </w:style>
  <w:style w:type="character" w:customStyle="1" w:styleId="ListParagraphChar">
    <w:name w:val="List Paragraph Char"/>
    <w:aliases w:val="No Spacing - Calibri Char,No Spacing - Segoe Char"/>
    <w:link w:val="ListParagraph"/>
    <w:uiPriority w:val="34"/>
    <w:locked/>
    <w:rsid w:val="00330B45"/>
    <w:rPr>
      <w:rFonts w:ascii="Arial" w:eastAsia="Times New Roman" w:hAnsi="Arial" w:cs="Times New Roman"/>
      <w:color w:val="595959" w:themeColor="text1" w:themeTint="A6"/>
      <w:sz w:val="22"/>
    </w:rPr>
  </w:style>
  <w:style w:type="paragraph" w:customStyle="1" w:styleId="P0">
    <w:name w:val="P0"/>
    <w:basedOn w:val="Normal"/>
    <w:rsid w:val="00482B6E"/>
    <w:pPr>
      <w:spacing w:line="240" w:lineRule="auto"/>
      <w:jc w:val="both"/>
    </w:pPr>
    <w:rPr>
      <w:rFonts w:ascii="Times New Roman" w:hAnsi="Times New Roman" w:cs="Tahoma"/>
      <w:bCs/>
      <w:color w:val="auto"/>
      <w:sz w:val="18"/>
      <w:szCs w:val="20"/>
      <w:lang w:val="en-US" w:eastAsia="en-US"/>
    </w:rPr>
  </w:style>
  <w:style w:type="paragraph" w:styleId="CommentSubject">
    <w:name w:val="annotation subject"/>
    <w:basedOn w:val="CommentText"/>
    <w:next w:val="CommentText"/>
    <w:link w:val="CommentSubjectChar"/>
    <w:uiPriority w:val="99"/>
    <w:semiHidden/>
    <w:unhideWhenUsed/>
    <w:rsid w:val="007126D7"/>
    <w:pPr>
      <w:overflowPunct/>
      <w:autoSpaceDE/>
      <w:autoSpaceDN/>
      <w:adjustRightInd/>
      <w:spacing w:before="0" w:after="0"/>
      <w:textAlignment w:val="auto"/>
    </w:pPr>
    <w:rPr>
      <w:rFonts w:ascii="Arial" w:hAnsi="Arial" w:cs="Times New Roman"/>
      <w:b/>
      <w:bCs/>
      <w:color w:val="595959" w:themeColor="text1" w:themeTint="A6"/>
      <w:lang w:eastAsia="zh-CN"/>
    </w:rPr>
  </w:style>
  <w:style w:type="character" w:customStyle="1" w:styleId="CommentSubjectChar">
    <w:name w:val="Comment Subject Char"/>
    <w:basedOn w:val="CommentTextChar"/>
    <w:link w:val="CommentSubject"/>
    <w:uiPriority w:val="99"/>
    <w:semiHidden/>
    <w:rsid w:val="007126D7"/>
    <w:rPr>
      <w:rFonts w:ascii="Arial" w:eastAsia="Times New Roman" w:hAnsi="Arial" w:cs="Times New Roman"/>
      <w:b/>
      <w:bCs/>
      <w:color w:val="595959" w:themeColor="text1" w:themeTint="A6"/>
      <w:sz w:val="20"/>
      <w:szCs w:val="20"/>
      <w:lang w:eastAsia="en-US"/>
    </w:rPr>
  </w:style>
  <w:style w:type="paragraph" w:customStyle="1" w:styleId="Level1">
    <w:name w:val="Level 1"/>
    <w:basedOn w:val="Normal"/>
    <w:next w:val="Normal"/>
    <w:uiPriority w:val="99"/>
    <w:rsid w:val="000D0230"/>
    <w:pPr>
      <w:keepNext/>
      <w:numPr>
        <w:numId w:val="11"/>
      </w:numPr>
      <w:spacing w:before="140" w:after="140" w:line="290" w:lineRule="auto"/>
      <w:jc w:val="both"/>
      <w:outlineLvl w:val="0"/>
    </w:pPr>
    <w:rPr>
      <w:rFonts w:eastAsia="SimSun" w:cs="Angsana New"/>
      <w:b/>
      <w:color w:val="auto"/>
      <w:kern w:val="20"/>
      <w:szCs w:val="20"/>
      <w:lang w:eastAsia="en-US"/>
    </w:rPr>
  </w:style>
  <w:style w:type="paragraph" w:customStyle="1" w:styleId="Level2">
    <w:name w:val="Level 2"/>
    <w:basedOn w:val="Normal"/>
    <w:rsid w:val="000D0230"/>
    <w:pPr>
      <w:numPr>
        <w:ilvl w:val="1"/>
        <w:numId w:val="11"/>
      </w:numPr>
      <w:spacing w:before="120" w:line="288" w:lineRule="auto"/>
      <w:jc w:val="both"/>
    </w:pPr>
    <w:rPr>
      <w:rFonts w:eastAsia="SimSun" w:cs="Arial"/>
      <w:color w:val="auto"/>
      <w:kern w:val="20"/>
      <w:szCs w:val="22"/>
      <w:lang w:eastAsia="en-US"/>
    </w:rPr>
  </w:style>
  <w:style w:type="paragraph" w:customStyle="1" w:styleId="Level3">
    <w:name w:val="Level 3"/>
    <w:basedOn w:val="Normal"/>
    <w:rsid w:val="000D0230"/>
    <w:pPr>
      <w:numPr>
        <w:ilvl w:val="2"/>
        <w:numId w:val="11"/>
      </w:numPr>
      <w:spacing w:after="140" w:line="290" w:lineRule="auto"/>
      <w:jc w:val="both"/>
    </w:pPr>
    <w:rPr>
      <w:rFonts w:eastAsia="SimSun" w:cs="Angsana New"/>
      <w:color w:val="auto"/>
      <w:kern w:val="20"/>
      <w:sz w:val="20"/>
      <w:szCs w:val="20"/>
      <w:lang w:eastAsia="en-US"/>
    </w:rPr>
  </w:style>
  <w:style w:type="paragraph" w:customStyle="1" w:styleId="Level4">
    <w:name w:val="Level 4"/>
    <w:basedOn w:val="Normal"/>
    <w:rsid w:val="000D0230"/>
    <w:pPr>
      <w:numPr>
        <w:ilvl w:val="3"/>
        <w:numId w:val="11"/>
      </w:numPr>
      <w:spacing w:after="140" w:line="290" w:lineRule="auto"/>
      <w:jc w:val="both"/>
    </w:pPr>
    <w:rPr>
      <w:rFonts w:eastAsia="SimSun" w:cs="Angsana New"/>
      <w:color w:val="auto"/>
      <w:kern w:val="20"/>
      <w:sz w:val="20"/>
      <w:szCs w:val="20"/>
      <w:lang w:eastAsia="en-US"/>
    </w:rPr>
  </w:style>
  <w:style w:type="paragraph" w:customStyle="1" w:styleId="Level5">
    <w:name w:val="Level 5"/>
    <w:basedOn w:val="Normal"/>
    <w:rsid w:val="000D0230"/>
    <w:pPr>
      <w:numPr>
        <w:ilvl w:val="4"/>
        <w:numId w:val="11"/>
      </w:numPr>
      <w:spacing w:after="140" w:line="290" w:lineRule="auto"/>
      <w:jc w:val="both"/>
    </w:pPr>
    <w:rPr>
      <w:rFonts w:eastAsia="SimSun" w:cs="Angsana New"/>
      <w:color w:val="auto"/>
      <w:kern w:val="20"/>
      <w:sz w:val="20"/>
      <w:szCs w:val="20"/>
      <w:lang w:eastAsia="en-US"/>
    </w:rPr>
  </w:style>
  <w:style w:type="paragraph" w:customStyle="1" w:styleId="Level6">
    <w:name w:val="Level 6"/>
    <w:basedOn w:val="Normal"/>
    <w:rsid w:val="000D0230"/>
    <w:pPr>
      <w:numPr>
        <w:ilvl w:val="5"/>
        <w:numId w:val="11"/>
      </w:numPr>
      <w:spacing w:after="140" w:line="290" w:lineRule="auto"/>
      <w:jc w:val="both"/>
    </w:pPr>
    <w:rPr>
      <w:rFonts w:eastAsia="SimSun" w:cs="Angsana New"/>
      <w:color w:val="auto"/>
      <w:kern w:val="20"/>
      <w:sz w:val="20"/>
      <w:szCs w:val="20"/>
      <w:lang w:eastAsia="en-US"/>
    </w:rPr>
  </w:style>
  <w:style w:type="paragraph" w:customStyle="1" w:styleId="pf0">
    <w:name w:val="pf0"/>
    <w:basedOn w:val="Normal"/>
    <w:rsid w:val="00737A44"/>
    <w:pPr>
      <w:spacing w:before="100" w:beforeAutospacing="1" w:after="100" w:afterAutospacing="1" w:line="240" w:lineRule="auto"/>
      <w:ind w:left="1980"/>
    </w:pPr>
    <w:rPr>
      <w:rFonts w:ascii="Times New Roman" w:hAnsi="Times New Roman"/>
      <w:color w:val="auto"/>
      <w:sz w:val="24"/>
      <w:lang w:eastAsia="en-GB"/>
    </w:rPr>
  </w:style>
  <w:style w:type="character" w:customStyle="1" w:styleId="cf01">
    <w:name w:val="cf01"/>
    <w:basedOn w:val="DefaultParagraphFont"/>
    <w:rsid w:val="00737A44"/>
    <w:rPr>
      <w:rFonts w:ascii="Segoe UI" w:hAnsi="Segoe UI" w:cs="Segoe UI" w:hint="default"/>
      <w:sz w:val="18"/>
      <w:szCs w:val="18"/>
    </w:rPr>
  </w:style>
  <w:style w:type="paragraph" w:styleId="Revision">
    <w:name w:val="Revision"/>
    <w:hidden/>
    <w:uiPriority w:val="99"/>
    <w:semiHidden/>
    <w:rsid w:val="00F8175B"/>
    <w:rPr>
      <w:rFonts w:ascii="Arial" w:eastAsia="Times New Roman" w:hAnsi="Arial" w:cs="Times New Roman"/>
      <w:color w:val="595959" w:themeColor="text1" w:themeTint="A6"/>
      <w:sz w:val="22"/>
    </w:rPr>
  </w:style>
  <w:style w:type="character" w:styleId="Mention">
    <w:name w:val="Mention"/>
    <w:basedOn w:val="DefaultParagraphFont"/>
    <w:uiPriority w:val="99"/>
    <w:unhideWhenUsed/>
    <w:rsid w:val="00C43CBB"/>
    <w:rPr>
      <w:color w:val="2B579A"/>
      <w:shd w:val="clear" w:color="auto" w:fill="E1DFDD"/>
    </w:rPr>
  </w:style>
  <w:style w:type="paragraph" w:customStyle="1" w:styleId="pf1">
    <w:name w:val="pf1"/>
    <w:basedOn w:val="Normal"/>
    <w:rsid w:val="009113FD"/>
    <w:pPr>
      <w:spacing w:before="100" w:beforeAutospacing="1" w:after="100" w:afterAutospacing="1" w:line="240" w:lineRule="auto"/>
      <w:ind w:left="360"/>
    </w:pPr>
    <w:rPr>
      <w:rFonts w:ascii="Times New Roman" w:hAnsi="Times New Roman"/>
      <w:color w:val="auto"/>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5529">
      <w:bodyDiv w:val="1"/>
      <w:marLeft w:val="0"/>
      <w:marRight w:val="0"/>
      <w:marTop w:val="0"/>
      <w:marBottom w:val="0"/>
      <w:divBdr>
        <w:top w:val="none" w:sz="0" w:space="0" w:color="auto"/>
        <w:left w:val="none" w:sz="0" w:space="0" w:color="auto"/>
        <w:bottom w:val="none" w:sz="0" w:space="0" w:color="auto"/>
        <w:right w:val="none" w:sz="0" w:space="0" w:color="auto"/>
      </w:divBdr>
    </w:div>
    <w:div w:id="231814796">
      <w:bodyDiv w:val="1"/>
      <w:marLeft w:val="0"/>
      <w:marRight w:val="0"/>
      <w:marTop w:val="0"/>
      <w:marBottom w:val="0"/>
      <w:divBdr>
        <w:top w:val="none" w:sz="0" w:space="0" w:color="auto"/>
        <w:left w:val="none" w:sz="0" w:space="0" w:color="auto"/>
        <w:bottom w:val="none" w:sz="0" w:space="0" w:color="auto"/>
        <w:right w:val="none" w:sz="0" w:space="0" w:color="auto"/>
      </w:divBdr>
    </w:div>
    <w:div w:id="252667188">
      <w:bodyDiv w:val="1"/>
      <w:marLeft w:val="0"/>
      <w:marRight w:val="0"/>
      <w:marTop w:val="0"/>
      <w:marBottom w:val="0"/>
      <w:divBdr>
        <w:top w:val="none" w:sz="0" w:space="0" w:color="auto"/>
        <w:left w:val="none" w:sz="0" w:space="0" w:color="auto"/>
        <w:bottom w:val="none" w:sz="0" w:space="0" w:color="auto"/>
        <w:right w:val="none" w:sz="0" w:space="0" w:color="auto"/>
      </w:divBdr>
    </w:div>
    <w:div w:id="256838628">
      <w:bodyDiv w:val="1"/>
      <w:marLeft w:val="0"/>
      <w:marRight w:val="0"/>
      <w:marTop w:val="0"/>
      <w:marBottom w:val="0"/>
      <w:divBdr>
        <w:top w:val="none" w:sz="0" w:space="0" w:color="auto"/>
        <w:left w:val="none" w:sz="0" w:space="0" w:color="auto"/>
        <w:bottom w:val="none" w:sz="0" w:space="0" w:color="auto"/>
        <w:right w:val="none" w:sz="0" w:space="0" w:color="auto"/>
      </w:divBdr>
    </w:div>
    <w:div w:id="284505062">
      <w:bodyDiv w:val="1"/>
      <w:marLeft w:val="0"/>
      <w:marRight w:val="0"/>
      <w:marTop w:val="0"/>
      <w:marBottom w:val="0"/>
      <w:divBdr>
        <w:top w:val="none" w:sz="0" w:space="0" w:color="auto"/>
        <w:left w:val="none" w:sz="0" w:space="0" w:color="auto"/>
        <w:bottom w:val="none" w:sz="0" w:space="0" w:color="auto"/>
        <w:right w:val="none" w:sz="0" w:space="0" w:color="auto"/>
      </w:divBdr>
    </w:div>
    <w:div w:id="288978082">
      <w:bodyDiv w:val="1"/>
      <w:marLeft w:val="0"/>
      <w:marRight w:val="0"/>
      <w:marTop w:val="0"/>
      <w:marBottom w:val="0"/>
      <w:divBdr>
        <w:top w:val="none" w:sz="0" w:space="0" w:color="auto"/>
        <w:left w:val="none" w:sz="0" w:space="0" w:color="auto"/>
        <w:bottom w:val="none" w:sz="0" w:space="0" w:color="auto"/>
        <w:right w:val="none" w:sz="0" w:space="0" w:color="auto"/>
      </w:divBdr>
    </w:div>
    <w:div w:id="314603795">
      <w:bodyDiv w:val="1"/>
      <w:marLeft w:val="0"/>
      <w:marRight w:val="0"/>
      <w:marTop w:val="0"/>
      <w:marBottom w:val="0"/>
      <w:divBdr>
        <w:top w:val="none" w:sz="0" w:space="0" w:color="auto"/>
        <w:left w:val="none" w:sz="0" w:space="0" w:color="auto"/>
        <w:bottom w:val="none" w:sz="0" w:space="0" w:color="auto"/>
        <w:right w:val="none" w:sz="0" w:space="0" w:color="auto"/>
      </w:divBdr>
    </w:div>
    <w:div w:id="359286265">
      <w:bodyDiv w:val="1"/>
      <w:marLeft w:val="0"/>
      <w:marRight w:val="0"/>
      <w:marTop w:val="0"/>
      <w:marBottom w:val="0"/>
      <w:divBdr>
        <w:top w:val="none" w:sz="0" w:space="0" w:color="auto"/>
        <w:left w:val="none" w:sz="0" w:space="0" w:color="auto"/>
        <w:bottom w:val="none" w:sz="0" w:space="0" w:color="auto"/>
        <w:right w:val="none" w:sz="0" w:space="0" w:color="auto"/>
      </w:divBdr>
    </w:div>
    <w:div w:id="434373963">
      <w:bodyDiv w:val="1"/>
      <w:marLeft w:val="0"/>
      <w:marRight w:val="0"/>
      <w:marTop w:val="0"/>
      <w:marBottom w:val="0"/>
      <w:divBdr>
        <w:top w:val="none" w:sz="0" w:space="0" w:color="auto"/>
        <w:left w:val="none" w:sz="0" w:space="0" w:color="auto"/>
        <w:bottom w:val="none" w:sz="0" w:space="0" w:color="auto"/>
        <w:right w:val="none" w:sz="0" w:space="0" w:color="auto"/>
      </w:divBdr>
    </w:div>
    <w:div w:id="455758699">
      <w:bodyDiv w:val="1"/>
      <w:marLeft w:val="0"/>
      <w:marRight w:val="0"/>
      <w:marTop w:val="0"/>
      <w:marBottom w:val="0"/>
      <w:divBdr>
        <w:top w:val="none" w:sz="0" w:space="0" w:color="auto"/>
        <w:left w:val="none" w:sz="0" w:space="0" w:color="auto"/>
        <w:bottom w:val="none" w:sz="0" w:space="0" w:color="auto"/>
        <w:right w:val="none" w:sz="0" w:space="0" w:color="auto"/>
      </w:divBdr>
      <w:divsChild>
        <w:div w:id="1639989053">
          <w:marLeft w:val="-225"/>
          <w:marRight w:val="-225"/>
          <w:marTop w:val="0"/>
          <w:marBottom w:val="0"/>
          <w:divBdr>
            <w:top w:val="none" w:sz="0" w:space="0" w:color="auto"/>
            <w:left w:val="none" w:sz="0" w:space="0" w:color="auto"/>
            <w:bottom w:val="none" w:sz="0" w:space="0" w:color="auto"/>
            <w:right w:val="none" w:sz="0" w:space="0" w:color="auto"/>
          </w:divBdr>
          <w:divsChild>
            <w:div w:id="1739402112">
              <w:marLeft w:val="0"/>
              <w:marRight w:val="0"/>
              <w:marTop w:val="0"/>
              <w:marBottom w:val="0"/>
              <w:divBdr>
                <w:top w:val="none" w:sz="0" w:space="0" w:color="auto"/>
                <w:left w:val="none" w:sz="0" w:space="0" w:color="auto"/>
                <w:bottom w:val="none" w:sz="0" w:space="0" w:color="auto"/>
                <w:right w:val="none" w:sz="0" w:space="0" w:color="auto"/>
              </w:divBdr>
            </w:div>
          </w:divsChild>
        </w:div>
        <w:div w:id="1809585807">
          <w:marLeft w:val="-225"/>
          <w:marRight w:val="-225"/>
          <w:marTop w:val="0"/>
          <w:marBottom w:val="0"/>
          <w:divBdr>
            <w:top w:val="none" w:sz="0" w:space="0" w:color="auto"/>
            <w:left w:val="none" w:sz="0" w:space="0" w:color="auto"/>
            <w:bottom w:val="none" w:sz="0" w:space="0" w:color="auto"/>
            <w:right w:val="none" w:sz="0" w:space="0" w:color="auto"/>
          </w:divBdr>
          <w:divsChild>
            <w:div w:id="14524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89990">
      <w:bodyDiv w:val="1"/>
      <w:marLeft w:val="0"/>
      <w:marRight w:val="0"/>
      <w:marTop w:val="0"/>
      <w:marBottom w:val="0"/>
      <w:divBdr>
        <w:top w:val="none" w:sz="0" w:space="0" w:color="auto"/>
        <w:left w:val="none" w:sz="0" w:space="0" w:color="auto"/>
        <w:bottom w:val="none" w:sz="0" w:space="0" w:color="auto"/>
        <w:right w:val="none" w:sz="0" w:space="0" w:color="auto"/>
      </w:divBdr>
    </w:div>
    <w:div w:id="485362664">
      <w:bodyDiv w:val="1"/>
      <w:marLeft w:val="0"/>
      <w:marRight w:val="0"/>
      <w:marTop w:val="0"/>
      <w:marBottom w:val="0"/>
      <w:divBdr>
        <w:top w:val="none" w:sz="0" w:space="0" w:color="auto"/>
        <w:left w:val="none" w:sz="0" w:space="0" w:color="auto"/>
        <w:bottom w:val="none" w:sz="0" w:space="0" w:color="auto"/>
        <w:right w:val="none" w:sz="0" w:space="0" w:color="auto"/>
      </w:divBdr>
    </w:div>
    <w:div w:id="523250811">
      <w:bodyDiv w:val="1"/>
      <w:marLeft w:val="0"/>
      <w:marRight w:val="0"/>
      <w:marTop w:val="0"/>
      <w:marBottom w:val="0"/>
      <w:divBdr>
        <w:top w:val="none" w:sz="0" w:space="0" w:color="auto"/>
        <w:left w:val="none" w:sz="0" w:space="0" w:color="auto"/>
        <w:bottom w:val="none" w:sz="0" w:space="0" w:color="auto"/>
        <w:right w:val="none" w:sz="0" w:space="0" w:color="auto"/>
      </w:divBdr>
    </w:div>
    <w:div w:id="583994830">
      <w:bodyDiv w:val="1"/>
      <w:marLeft w:val="0"/>
      <w:marRight w:val="0"/>
      <w:marTop w:val="0"/>
      <w:marBottom w:val="0"/>
      <w:divBdr>
        <w:top w:val="none" w:sz="0" w:space="0" w:color="auto"/>
        <w:left w:val="none" w:sz="0" w:space="0" w:color="auto"/>
        <w:bottom w:val="none" w:sz="0" w:space="0" w:color="auto"/>
        <w:right w:val="none" w:sz="0" w:space="0" w:color="auto"/>
      </w:divBdr>
    </w:div>
    <w:div w:id="595213571">
      <w:bodyDiv w:val="1"/>
      <w:marLeft w:val="0"/>
      <w:marRight w:val="0"/>
      <w:marTop w:val="0"/>
      <w:marBottom w:val="0"/>
      <w:divBdr>
        <w:top w:val="none" w:sz="0" w:space="0" w:color="auto"/>
        <w:left w:val="none" w:sz="0" w:space="0" w:color="auto"/>
        <w:bottom w:val="none" w:sz="0" w:space="0" w:color="auto"/>
        <w:right w:val="none" w:sz="0" w:space="0" w:color="auto"/>
      </w:divBdr>
    </w:div>
    <w:div w:id="709576572">
      <w:bodyDiv w:val="1"/>
      <w:marLeft w:val="0"/>
      <w:marRight w:val="0"/>
      <w:marTop w:val="0"/>
      <w:marBottom w:val="0"/>
      <w:divBdr>
        <w:top w:val="none" w:sz="0" w:space="0" w:color="auto"/>
        <w:left w:val="none" w:sz="0" w:space="0" w:color="auto"/>
        <w:bottom w:val="none" w:sz="0" w:space="0" w:color="auto"/>
        <w:right w:val="none" w:sz="0" w:space="0" w:color="auto"/>
      </w:divBdr>
    </w:div>
    <w:div w:id="719941105">
      <w:bodyDiv w:val="1"/>
      <w:marLeft w:val="0"/>
      <w:marRight w:val="0"/>
      <w:marTop w:val="0"/>
      <w:marBottom w:val="0"/>
      <w:divBdr>
        <w:top w:val="none" w:sz="0" w:space="0" w:color="auto"/>
        <w:left w:val="none" w:sz="0" w:space="0" w:color="auto"/>
        <w:bottom w:val="none" w:sz="0" w:space="0" w:color="auto"/>
        <w:right w:val="none" w:sz="0" w:space="0" w:color="auto"/>
      </w:divBdr>
    </w:div>
    <w:div w:id="768551302">
      <w:bodyDiv w:val="1"/>
      <w:marLeft w:val="0"/>
      <w:marRight w:val="0"/>
      <w:marTop w:val="0"/>
      <w:marBottom w:val="0"/>
      <w:divBdr>
        <w:top w:val="none" w:sz="0" w:space="0" w:color="auto"/>
        <w:left w:val="none" w:sz="0" w:space="0" w:color="auto"/>
        <w:bottom w:val="none" w:sz="0" w:space="0" w:color="auto"/>
        <w:right w:val="none" w:sz="0" w:space="0" w:color="auto"/>
      </w:divBdr>
    </w:div>
    <w:div w:id="829098599">
      <w:bodyDiv w:val="1"/>
      <w:marLeft w:val="0"/>
      <w:marRight w:val="0"/>
      <w:marTop w:val="0"/>
      <w:marBottom w:val="0"/>
      <w:divBdr>
        <w:top w:val="none" w:sz="0" w:space="0" w:color="auto"/>
        <w:left w:val="none" w:sz="0" w:space="0" w:color="auto"/>
        <w:bottom w:val="none" w:sz="0" w:space="0" w:color="auto"/>
        <w:right w:val="none" w:sz="0" w:space="0" w:color="auto"/>
      </w:divBdr>
    </w:div>
    <w:div w:id="845679460">
      <w:bodyDiv w:val="1"/>
      <w:marLeft w:val="0"/>
      <w:marRight w:val="0"/>
      <w:marTop w:val="0"/>
      <w:marBottom w:val="0"/>
      <w:divBdr>
        <w:top w:val="none" w:sz="0" w:space="0" w:color="auto"/>
        <w:left w:val="none" w:sz="0" w:space="0" w:color="auto"/>
        <w:bottom w:val="none" w:sz="0" w:space="0" w:color="auto"/>
        <w:right w:val="none" w:sz="0" w:space="0" w:color="auto"/>
      </w:divBdr>
    </w:div>
    <w:div w:id="883367034">
      <w:bodyDiv w:val="1"/>
      <w:marLeft w:val="0"/>
      <w:marRight w:val="0"/>
      <w:marTop w:val="0"/>
      <w:marBottom w:val="0"/>
      <w:divBdr>
        <w:top w:val="none" w:sz="0" w:space="0" w:color="auto"/>
        <w:left w:val="none" w:sz="0" w:space="0" w:color="auto"/>
        <w:bottom w:val="none" w:sz="0" w:space="0" w:color="auto"/>
        <w:right w:val="none" w:sz="0" w:space="0" w:color="auto"/>
      </w:divBdr>
    </w:div>
    <w:div w:id="1045252742">
      <w:bodyDiv w:val="1"/>
      <w:marLeft w:val="0"/>
      <w:marRight w:val="0"/>
      <w:marTop w:val="0"/>
      <w:marBottom w:val="0"/>
      <w:divBdr>
        <w:top w:val="none" w:sz="0" w:space="0" w:color="auto"/>
        <w:left w:val="none" w:sz="0" w:space="0" w:color="auto"/>
        <w:bottom w:val="none" w:sz="0" w:space="0" w:color="auto"/>
        <w:right w:val="none" w:sz="0" w:space="0" w:color="auto"/>
      </w:divBdr>
      <w:divsChild>
        <w:div w:id="1270701545">
          <w:marLeft w:val="-225"/>
          <w:marRight w:val="-225"/>
          <w:marTop w:val="0"/>
          <w:marBottom w:val="0"/>
          <w:divBdr>
            <w:top w:val="none" w:sz="0" w:space="0" w:color="auto"/>
            <w:left w:val="none" w:sz="0" w:space="0" w:color="auto"/>
            <w:bottom w:val="none" w:sz="0" w:space="0" w:color="auto"/>
            <w:right w:val="none" w:sz="0" w:space="0" w:color="auto"/>
          </w:divBdr>
          <w:divsChild>
            <w:div w:id="335813065">
              <w:marLeft w:val="0"/>
              <w:marRight w:val="0"/>
              <w:marTop w:val="0"/>
              <w:marBottom w:val="0"/>
              <w:divBdr>
                <w:top w:val="none" w:sz="0" w:space="0" w:color="auto"/>
                <w:left w:val="none" w:sz="0" w:space="0" w:color="auto"/>
                <w:bottom w:val="none" w:sz="0" w:space="0" w:color="auto"/>
                <w:right w:val="none" w:sz="0" w:space="0" w:color="auto"/>
              </w:divBdr>
            </w:div>
          </w:divsChild>
        </w:div>
        <w:div w:id="1904101409">
          <w:marLeft w:val="-225"/>
          <w:marRight w:val="-225"/>
          <w:marTop w:val="0"/>
          <w:marBottom w:val="0"/>
          <w:divBdr>
            <w:top w:val="none" w:sz="0" w:space="0" w:color="auto"/>
            <w:left w:val="none" w:sz="0" w:space="0" w:color="auto"/>
            <w:bottom w:val="none" w:sz="0" w:space="0" w:color="auto"/>
            <w:right w:val="none" w:sz="0" w:space="0" w:color="auto"/>
          </w:divBdr>
          <w:divsChild>
            <w:div w:id="151225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1872">
      <w:bodyDiv w:val="1"/>
      <w:marLeft w:val="0"/>
      <w:marRight w:val="0"/>
      <w:marTop w:val="0"/>
      <w:marBottom w:val="0"/>
      <w:divBdr>
        <w:top w:val="none" w:sz="0" w:space="0" w:color="auto"/>
        <w:left w:val="none" w:sz="0" w:space="0" w:color="auto"/>
        <w:bottom w:val="none" w:sz="0" w:space="0" w:color="auto"/>
        <w:right w:val="none" w:sz="0" w:space="0" w:color="auto"/>
      </w:divBdr>
    </w:div>
    <w:div w:id="1117993033">
      <w:bodyDiv w:val="1"/>
      <w:marLeft w:val="0"/>
      <w:marRight w:val="0"/>
      <w:marTop w:val="0"/>
      <w:marBottom w:val="0"/>
      <w:divBdr>
        <w:top w:val="none" w:sz="0" w:space="0" w:color="auto"/>
        <w:left w:val="none" w:sz="0" w:space="0" w:color="auto"/>
        <w:bottom w:val="none" w:sz="0" w:space="0" w:color="auto"/>
        <w:right w:val="none" w:sz="0" w:space="0" w:color="auto"/>
      </w:divBdr>
    </w:div>
    <w:div w:id="1148084371">
      <w:bodyDiv w:val="1"/>
      <w:marLeft w:val="0"/>
      <w:marRight w:val="0"/>
      <w:marTop w:val="0"/>
      <w:marBottom w:val="0"/>
      <w:divBdr>
        <w:top w:val="none" w:sz="0" w:space="0" w:color="auto"/>
        <w:left w:val="none" w:sz="0" w:space="0" w:color="auto"/>
        <w:bottom w:val="none" w:sz="0" w:space="0" w:color="auto"/>
        <w:right w:val="none" w:sz="0" w:space="0" w:color="auto"/>
      </w:divBdr>
    </w:div>
    <w:div w:id="1377781718">
      <w:bodyDiv w:val="1"/>
      <w:marLeft w:val="0"/>
      <w:marRight w:val="0"/>
      <w:marTop w:val="0"/>
      <w:marBottom w:val="0"/>
      <w:divBdr>
        <w:top w:val="none" w:sz="0" w:space="0" w:color="auto"/>
        <w:left w:val="none" w:sz="0" w:space="0" w:color="auto"/>
        <w:bottom w:val="none" w:sz="0" w:space="0" w:color="auto"/>
        <w:right w:val="none" w:sz="0" w:space="0" w:color="auto"/>
      </w:divBdr>
    </w:div>
    <w:div w:id="1424456062">
      <w:bodyDiv w:val="1"/>
      <w:marLeft w:val="0"/>
      <w:marRight w:val="0"/>
      <w:marTop w:val="0"/>
      <w:marBottom w:val="0"/>
      <w:divBdr>
        <w:top w:val="none" w:sz="0" w:space="0" w:color="auto"/>
        <w:left w:val="none" w:sz="0" w:space="0" w:color="auto"/>
        <w:bottom w:val="none" w:sz="0" w:space="0" w:color="auto"/>
        <w:right w:val="none" w:sz="0" w:space="0" w:color="auto"/>
      </w:divBdr>
    </w:div>
    <w:div w:id="1480538172">
      <w:bodyDiv w:val="1"/>
      <w:marLeft w:val="0"/>
      <w:marRight w:val="0"/>
      <w:marTop w:val="0"/>
      <w:marBottom w:val="0"/>
      <w:divBdr>
        <w:top w:val="none" w:sz="0" w:space="0" w:color="auto"/>
        <w:left w:val="none" w:sz="0" w:space="0" w:color="auto"/>
        <w:bottom w:val="none" w:sz="0" w:space="0" w:color="auto"/>
        <w:right w:val="none" w:sz="0" w:space="0" w:color="auto"/>
      </w:divBdr>
    </w:div>
    <w:div w:id="1582328076">
      <w:bodyDiv w:val="1"/>
      <w:marLeft w:val="0"/>
      <w:marRight w:val="0"/>
      <w:marTop w:val="0"/>
      <w:marBottom w:val="0"/>
      <w:divBdr>
        <w:top w:val="none" w:sz="0" w:space="0" w:color="auto"/>
        <w:left w:val="none" w:sz="0" w:space="0" w:color="auto"/>
        <w:bottom w:val="none" w:sz="0" w:space="0" w:color="auto"/>
        <w:right w:val="none" w:sz="0" w:space="0" w:color="auto"/>
      </w:divBdr>
      <w:divsChild>
        <w:div w:id="1209342720">
          <w:marLeft w:val="0"/>
          <w:marRight w:val="0"/>
          <w:marTop w:val="0"/>
          <w:marBottom w:val="0"/>
          <w:divBdr>
            <w:top w:val="none" w:sz="0" w:space="0" w:color="auto"/>
            <w:left w:val="none" w:sz="0" w:space="0" w:color="auto"/>
            <w:bottom w:val="none" w:sz="0" w:space="0" w:color="auto"/>
            <w:right w:val="none" w:sz="0" w:space="0" w:color="auto"/>
          </w:divBdr>
          <w:divsChild>
            <w:div w:id="1040782389">
              <w:marLeft w:val="0"/>
              <w:marRight w:val="0"/>
              <w:marTop w:val="0"/>
              <w:marBottom w:val="0"/>
              <w:divBdr>
                <w:top w:val="none" w:sz="0" w:space="0" w:color="auto"/>
                <w:left w:val="none" w:sz="0" w:space="0" w:color="auto"/>
                <w:bottom w:val="none" w:sz="0" w:space="0" w:color="auto"/>
                <w:right w:val="none" w:sz="0" w:space="0" w:color="auto"/>
              </w:divBdr>
              <w:divsChild>
                <w:div w:id="264308855">
                  <w:marLeft w:val="-225"/>
                  <w:marRight w:val="-225"/>
                  <w:marTop w:val="0"/>
                  <w:marBottom w:val="0"/>
                  <w:divBdr>
                    <w:top w:val="none" w:sz="0" w:space="0" w:color="auto"/>
                    <w:left w:val="none" w:sz="0" w:space="0" w:color="auto"/>
                    <w:bottom w:val="none" w:sz="0" w:space="0" w:color="auto"/>
                    <w:right w:val="none" w:sz="0" w:space="0" w:color="auto"/>
                  </w:divBdr>
                  <w:divsChild>
                    <w:div w:id="178357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10246">
          <w:marLeft w:val="0"/>
          <w:marRight w:val="0"/>
          <w:marTop w:val="0"/>
          <w:marBottom w:val="0"/>
          <w:divBdr>
            <w:top w:val="none" w:sz="0" w:space="0" w:color="auto"/>
            <w:left w:val="none" w:sz="0" w:space="0" w:color="auto"/>
            <w:bottom w:val="none" w:sz="0" w:space="0" w:color="auto"/>
            <w:right w:val="none" w:sz="0" w:space="0" w:color="auto"/>
          </w:divBdr>
          <w:divsChild>
            <w:div w:id="959842597">
              <w:marLeft w:val="0"/>
              <w:marRight w:val="0"/>
              <w:marTop w:val="0"/>
              <w:marBottom w:val="0"/>
              <w:divBdr>
                <w:top w:val="none" w:sz="0" w:space="0" w:color="auto"/>
                <w:left w:val="none" w:sz="0" w:space="0" w:color="auto"/>
                <w:bottom w:val="none" w:sz="0" w:space="0" w:color="auto"/>
                <w:right w:val="none" w:sz="0" w:space="0" w:color="auto"/>
              </w:divBdr>
              <w:divsChild>
                <w:div w:id="998534316">
                  <w:marLeft w:val="-225"/>
                  <w:marRight w:val="-225"/>
                  <w:marTop w:val="0"/>
                  <w:marBottom w:val="0"/>
                  <w:divBdr>
                    <w:top w:val="none" w:sz="0" w:space="0" w:color="auto"/>
                    <w:left w:val="none" w:sz="0" w:space="0" w:color="auto"/>
                    <w:bottom w:val="none" w:sz="0" w:space="0" w:color="auto"/>
                    <w:right w:val="none" w:sz="0" w:space="0" w:color="auto"/>
                  </w:divBdr>
                  <w:divsChild>
                    <w:div w:id="365061899">
                      <w:marLeft w:val="0"/>
                      <w:marRight w:val="0"/>
                      <w:marTop w:val="0"/>
                      <w:marBottom w:val="0"/>
                      <w:divBdr>
                        <w:top w:val="none" w:sz="0" w:space="0" w:color="auto"/>
                        <w:left w:val="none" w:sz="0" w:space="0" w:color="auto"/>
                        <w:bottom w:val="none" w:sz="0" w:space="0" w:color="auto"/>
                        <w:right w:val="none" w:sz="0" w:space="0" w:color="auto"/>
                      </w:divBdr>
                    </w:div>
                    <w:div w:id="1890804901">
                      <w:marLeft w:val="0"/>
                      <w:marRight w:val="0"/>
                      <w:marTop w:val="0"/>
                      <w:marBottom w:val="0"/>
                      <w:divBdr>
                        <w:top w:val="none" w:sz="0" w:space="0" w:color="auto"/>
                        <w:left w:val="none" w:sz="0" w:space="0" w:color="auto"/>
                        <w:bottom w:val="none" w:sz="0" w:space="0" w:color="auto"/>
                        <w:right w:val="none" w:sz="0" w:space="0" w:color="auto"/>
                      </w:divBdr>
                    </w:div>
                  </w:divsChild>
                </w:div>
                <w:div w:id="1696884586">
                  <w:marLeft w:val="-225"/>
                  <w:marRight w:val="-225"/>
                  <w:marTop w:val="0"/>
                  <w:marBottom w:val="0"/>
                  <w:divBdr>
                    <w:top w:val="none" w:sz="0" w:space="0" w:color="auto"/>
                    <w:left w:val="none" w:sz="0" w:space="0" w:color="auto"/>
                    <w:bottom w:val="none" w:sz="0" w:space="0" w:color="auto"/>
                    <w:right w:val="none" w:sz="0" w:space="0" w:color="auto"/>
                  </w:divBdr>
                  <w:divsChild>
                    <w:div w:id="91497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338602">
      <w:bodyDiv w:val="1"/>
      <w:marLeft w:val="0"/>
      <w:marRight w:val="0"/>
      <w:marTop w:val="0"/>
      <w:marBottom w:val="0"/>
      <w:divBdr>
        <w:top w:val="none" w:sz="0" w:space="0" w:color="auto"/>
        <w:left w:val="none" w:sz="0" w:space="0" w:color="auto"/>
        <w:bottom w:val="none" w:sz="0" w:space="0" w:color="auto"/>
        <w:right w:val="none" w:sz="0" w:space="0" w:color="auto"/>
      </w:divBdr>
    </w:div>
    <w:div w:id="1685596913">
      <w:bodyDiv w:val="1"/>
      <w:marLeft w:val="0"/>
      <w:marRight w:val="0"/>
      <w:marTop w:val="0"/>
      <w:marBottom w:val="0"/>
      <w:divBdr>
        <w:top w:val="none" w:sz="0" w:space="0" w:color="auto"/>
        <w:left w:val="none" w:sz="0" w:space="0" w:color="auto"/>
        <w:bottom w:val="none" w:sz="0" w:space="0" w:color="auto"/>
        <w:right w:val="none" w:sz="0" w:space="0" w:color="auto"/>
      </w:divBdr>
    </w:div>
    <w:div w:id="1715306352">
      <w:bodyDiv w:val="1"/>
      <w:marLeft w:val="0"/>
      <w:marRight w:val="0"/>
      <w:marTop w:val="0"/>
      <w:marBottom w:val="0"/>
      <w:divBdr>
        <w:top w:val="none" w:sz="0" w:space="0" w:color="auto"/>
        <w:left w:val="none" w:sz="0" w:space="0" w:color="auto"/>
        <w:bottom w:val="none" w:sz="0" w:space="0" w:color="auto"/>
        <w:right w:val="none" w:sz="0" w:space="0" w:color="auto"/>
      </w:divBdr>
    </w:div>
    <w:div w:id="1768580646">
      <w:bodyDiv w:val="1"/>
      <w:marLeft w:val="0"/>
      <w:marRight w:val="0"/>
      <w:marTop w:val="0"/>
      <w:marBottom w:val="0"/>
      <w:divBdr>
        <w:top w:val="none" w:sz="0" w:space="0" w:color="auto"/>
        <w:left w:val="none" w:sz="0" w:space="0" w:color="auto"/>
        <w:bottom w:val="none" w:sz="0" w:space="0" w:color="auto"/>
        <w:right w:val="none" w:sz="0" w:space="0" w:color="auto"/>
      </w:divBdr>
    </w:div>
    <w:div w:id="1845128510">
      <w:bodyDiv w:val="1"/>
      <w:marLeft w:val="0"/>
      <w:marRight w:val="0"/>
      <w:marTop w:val="0"/>
      <w:marBottom w:val="0"/>
      <w:divBdr>
        <w:top w:val="none" w:sz="0" w:space="0" w:color="auto"/>
        <w:left w:val="none" w:sz="0" w:space="0" w:color="auto"/>
        <w:bottom w:val="none" w:sz="0" w:space="0" w:color="auto"/>
        <w:right w:val="none" w:sz="0" w:space="0" w:color="auto"/>
      </w:divBdr>
    </w:div>
    <w:div w:id="1924025082">
      <w:bodyDiv w:val="1"/>
      <w:marLeft w:val="0"/>
      <w:marRight w:val="0"/>
      <w:marTop w:val="0"/>
      <w:marBottom w:val="0"/>
      <w:divBdr>
        <w:top w:val="none" w:sz="0" w:space="0" w:color="auto"/>
        <w:left w:val="none" w:sz="0" w:space="0" w:color="auto"/>
        <w:bottom w:val="none" w:sz="0" w:space="0" w:color="auto"/>
        <w:right w:val="none" w:sz="0" w:space="0" w:color="auto"/>
      </w:divBdr>
    </w:div>
    <w:div w:id="1941252260">
      <w:bodyDiv w:val="1"/>
      <w:marLeft w:val="0"/>
      <w:marRight w:val="0"/>
      <w:marTop w:val="0"/>
      <w:marBottom w:val="0"/>
      <w:divBdr>
        <w:top w:val="none" w:sz="0" w:space="0" w:color="auto"/>
        <w:left w:val="none" w:sz="0" w:space="0" w:color="auto"/>
        <w:bottom w:val="none" w:sz="0" w:space="0" w:color="auto"/>
        <w:right w:val="none" w:sz="0" w:space="0" w:color="auto"/>
      </w:divBdr>
    </w:div>
    <w:div w:id="1971586912">
      <w:bodyDiv w:val="1"/>
      <w:marLeft w:val="0"/>
      <w:marRight w:val="0"/>
      <w:marTop w:val="0"/>
      <w:marBottom w:val="0"/>
      <w:divBdr>
        <w:top w:val="none" w:sz="0" w:space="0" w:color="auto"/>
        <w:left w:val="none" w:sz="0" w:space="0" w:color="auto"/>
        <w:bottom w:val="none" w:sz="0" w:space="0" w:color="auto"/>
        <w:right w:val="none" w:sz="0" w:space="0" w:color="auto"/>
      </w:divBdr>
    </w:div>
    <w:div w:id="2009207283">
      <w:bodyDiv w:val="1"/>
      <w:marLeft w:val="0"/>
      <w:marRight w:val="0"/>
      <w:marTop w:val="0"/>
      <w:marBottom w:val="0"/>
      <w:divBdr>
        <w:top w:val="none" w:sz="0" w:space="0" w:color="auto"/>
        <w:left w:val="none" w:sz="0" w:space="0" w:color="auto"/>
        <w:bottom w:val="none" w:sz="0" w:space="0" w:color="auto"/>
        <w:right w:val="none" w:sz="0" w:space="0" w:color="auto"/>
      </w:divBdr>
    </w:div>
    <w:div w:id="2066415900">
      <w:bodyDiv w:val="1"/>
      <w:marLeft w:val="0"/>
      <w:marRight w:val="0"/>
      <w:marTop w:val="0"/>
      <w:marBottom w:val="0"/>
      <w:divBdr>
        <w:top w:val="none" w:sz="0" w:space="0" w:color="auto"/>
        <w:left w:val="none" w:sz="0" w:space="0" w:color="auto"/>
        <w:bottom w:val="none" w:sz="0" w:space="0" w:color="auto"/>
        <w:right w:val="none" w:sz="0" w:space="0" w:color="auto"/>
      </w:divBdr>
    </w:div>
    <w:div w:id="2100561790">
      <w:bodyDiv w:val="1"/>
      <w:marLeft w:val="0"/>
      <w:marRight w:val="0"/>
      <w:marTop w:val="0"/>
      <w:marBottom w:val="0"/>
      <w:divBdr>
        <w:top w:val="none" w:sz="0" w:space="0" w:color="auto"/>
        <w:left w:val="none" w:sz="0" w:space="0" w:color="auto"/>
        <w:bottom w:val="none" w:sz="0" w:space="0" w:color="auto"/>
        <w:right w:val="none" w:sz="0" w:space="0" w:color="auto"/>
      </w:divBdr>
    </w:div>
    <w:div w:id="214211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894455-750b-4fe2-a80c-39e40bbd9513" xsi:nil="true"/>
    <lcf76f155ced4ddcb4097134ff3c332f xmlns="1d3b9e53-1580-44c4-a9e8-bfc0f0f4b4a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properties xmlns="http://www.imanage.com/work/xmlschema">
  <documentid>YDES!1958875.3</documentid>
  <senderid>C.FOLLIOT@YDES.COM</senderid>
  <senderemail>C.FOLLIOT@YDES.COM</senderemail>
  <lastmodified>2025-01-21T17:05:00.0000000+01:00</lastmodified>
  <database>YDES</database>
</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CD820A454ACE048AFE61CB1DB3A03A2" ma:contentTypeVersion="18" ma:contentTypeDescription="Create a new document." ma:contentTypeScope="" ma:versionID="7d35ccd5e9c20198fe93e8b52d0b1259">
  <xsd:schema xmlns:xsd="http://www.w3.org/2001/XMLSchema" xmlns:xs="http://www.w3.org/2001/XMLSchema" xmlns:p="http://schemas.microsoft.com/office/2006/metadata/properties" xmlns:ns1="http://schemas.microsoft.com/sharepoint/v3" xmlns:ns2="1d3b9e53-1580-44c4-a9e8-bfc0f0f4b4af" xmlns:ns3="36894455-750b-4fe2-a80c-39e40bbd9513" targetNamespace="http://schemas.microsoft.com/office/2006/metadata/properties" ma:root="true" ma:fieldsID="ee0a2be69119f78b65bcee2d00a679dc" ns1:_="" ns2:_="" ns3:_="">
    <xsd:import namespace="http://schemas.microsoft.com/sharepoint/v3"/>
    <xsd:import namespace="1d3b9e53-1580-44c4-a9e8-bfc0f0f4b4af"/>
    <xsd:import namespace="36894455-750b-4fe2-a80c-39e40bbd95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3b9e53-1580-44c4-a9e8-bfc0f0f4b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a35f16e-7562-4279-93e4-af4cdb78d6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894455-750b-4fe2-a80c-39e40bbd95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c53369c-29aa-4d95-b33a-647cbf2c9f63}" ma:internalName="TaxCatchAll" ma:showField="CatchAllData" ma:web="36894455-750b-4fe2-a80c-39e40bbd95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B2260-E7C1-4048-A531-8933AAE4EF24}">
  <ds:schemaRefs>
    <ds:schemaRef ds:uri="http://schemas.microsoft.com/office/2006/metadata/properties"/>
    <ds:schemaRef ds:uri="http://schemas.microsoft.com/office/infopath/2007/PartnerControls"/>
    <ds:schemaRef ds:uri="36894455-750b-4fe2-a80c-39e40bbd9513"/>
    <ds:schemaRef ds:uri="1d3b9e53-1580-44c4-a9e8-bfc0f0f4b4af"/>
    <ds:schemaRef ds:uri="http://schemas.microsoft.com/sharepoint/v3"/>
  </ds:schemaRefs>
</ds:datastoreItem>
</file>

<file path=customXml/itemProps2.xml><?xml version="1.0" encoding="utf-8"?>
<ds:datastoreItem xmlns:ds="http://schemas.openxmlformats.org/officeDocument/2006/customXml" ds:itemID="{78B79468-6154-440D-B3F3-D1930C403F96}">
  <ds:schemaRefs>
    <ds:schemaRef ds:uri="http://www.imanage.com/work/xmlschema"/>
  </ds:schemaRefs>
</ds:datastoreItem>
</file>

<file path=customXml/itemProps3.xml><?xml version="1.0" encoding="utf-8"?>
<ds:datastoreItem xmlns:ds="http://schemas.openxmlformats.org/officeDocument/2006/customXml" ds:itemID="{1AE7152E-237C-4A05-B790-EC3555BB72F8}">
  <ds:schemaRefs>
    <ds:schemaRef ds:uri="http://schemas.microsoft.com/sharepoint/v3/contenttype/forms"/>
  </ds:schemaRefs>
</ds:datastoreItem>
</file>

<file path=customXml/itemProps4.xml><?xml version="1.0" encoding="utf-8"?>
<ds:datastoreItem xmlns:ds="http://schemas.openxmlformats.org/officeDocument/2006/customXml" ds:itemID="{823D8FA8-373D-43A1-8054-09719CD59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3b9e53-1580-44c4-a9e8-bfc0f0f4b4af"/>
    <ds:schemaRef ds:uri="36894455-750b-4fe2-a80c-39e40bbd9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5CEC036-617A-4006-BB35-13249DF0FC1D}">
  <ds:schemaRefs>
    <ds:schemaRef ds:uri="http://www.imanage.com/work/xmlschema"/>
  </ds:schemaRefs>
</ds:datastoreItem>
</file>

<file path=customXml/itemProps6.xml><?xml version="1.0" encoding="utf-8"?>
<ds:datastoreItem xmlns:ds="http://schemas.openxmlformats.org/officeDocument/2006/customXml" ds:itemID="{E3A4CFF7-E43E-4243-9595-EB967E4AD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4286</Words>
  <Characters>23575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Service Schedules</vt:lpstr>
    </vt:vector>
  </TitlesOfParts>
  <Company/>
  <LinksUpToDate>false</LinksUpToDate>
  <CharactersWithSpaces>27806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Schedules</dc:title>
  <dc:subject/>
  <dc:creator>KiS Marketing</dc:creator>
  <cp:keywords>, docId:E260DAB20E7395FD4CE52B5BC4885046</cp:keywords>
  <dc:description/>
  <cp:lastModifiedBy>Nina Vukovic</cp:lastModifiedBy>
  <cp:revision>8</cp:revision>
  <cp:lastPrinted>2024-10-04T13:37:00Z</cp:lastPrinted>
  <dcterms:created xsi:type="dcterms:W3CDTF">2026-08-20T13:19:00Z</dcterms:created>
  <dcterms:modified xsi:type="dcterms:W3CDTF">2026-08-26T14:09:00Z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DocLibrary">
    <vt:lpwstr>CLOUD_UK</vt:lpwstr>
  </property>
  <property fmtid="{D5CDD505-2E9C-101B-9397-08002B2CF9AE}" pid="3" name="iMDocNumber">
    <vt:lpwstr>223940443</vt:lpwstr>
  </property>
  <property fmtid="{D5CDD505-2E9C-101B-9397-08002B2CF9AE}" pid="4" name="iMDocVersion">
    <vt:lpwstr>6</vt:lpwstr>
  </property>
  <property fmtid="{D5CDD505-2E9C-101B-9397-08002B2CF9AE}" pid="5" name="iMDocID">
    <vt:lpwstr>CLOUD_UK\223940443\6</vt:lpwstr>
  </property>
  <property fmtid="{D5CDD505-2E9C-101B-9397-08002B2CF9AE}" pid="6" name="ContentTypeId">
    <vt:lpwstr>0x0101007CD820A454ACE048AFE61CB1DB3A03A2</vt:lpwstr>
  </property>
  <property fmtid="{D5CDD505-2E9C-101B-9397-08002B2CF9AE}" pid="7" name="MediaServiceImageTags">
    <vt:lpwstr/>
  </property>
</Properties>
</file>